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97C0" w14:textId="23806F27" w:rsidR="0090196E" w:rsidRPr="00F23BB1" w:rsidRDefault="00670BBC" w:rsidP="0090196E">
      <w:pPr>
        <w:ind w:left="-90"/>
        <w:rPr>
          <w:rFonts w:asciiTheme="minorHAnsi" w:hAnsiTheme="minorHAnsi" w:cstheme="minorHAnsi"/>
          <w:b/>
          <w:bCs/>
          <w:color w:val="auto"/>
          <w:sz w:val="22"/>
          <w:szCs w:val="22"/>
        </w:rPr>
      </w:pPr>
      <w:r>
        <w:rPr>
          <w:rFonts w:asciiTheme="minorHAnsi" w:hAnsiTheme="minorHAnsi" w:cstheme="minorHAnsi"/>
          <w:b/>
          <w:bCs/>
          <w:color w:val="auto"/>
          <w:sz w:val="22"/>
          <w:szCs w:val="22"/>
        </w:rPr>
        <w:t>Appendix 1</w:t>
      </w:r>
      <w:r w:rsidR="0090196E" w:rsidRPr="00F23BB1">
        <w:rPr>
          <w:rFonts w:asciiTheme="minorHAnsi" w:hAnsiTheme="minorHAnsi" w:cstheme="minorHAnsi"/>
          <w:b/>
          <w:bCs/>
          <w:color w:val="auto"/>
          <w:sz w:val="22"/>
          <w:szCs w:val="22"/>
        </w:rPr>
        <w:t>: Treatment and intervention (Local studies)</w:t>
      </w:r>
    </w:p>
    <w:p w14:paraId="37E482C2" w14:textId="77777777" w:rsidR="0090196E" w:rsidRPr="00F23BB1" w:rsidRDefault="0090196E" w:rsidP="0090196E">
      <w:pPr>
        <w:rPr>
          <w:rFonts w:asciiTheme="minorHAnsi" w:hAnsiTheme="minorHAnsi" w:cstheme="minorHAnsi"/>
          <w:color w:val="auto"/>
          <w:sz w:val="22"/>
          <w:szCs w:val="22"/>
        </w:rPr>
      </w:pPr>
    </w:p>
    <w:tbl>
      <w:tblPr>
        <w:tblStyle w:val="Grilledutableau"/>
        <w:tblW w:w="13180" w:type="dxa"/>
        <w:tblInd w:w="-174" w:type="dxa"/>
        <w:tblLook w:val="04A0" w:firstRow="1" w:lastRow="0" w:firstColumn="1" w:lastColumn="0" w:noHBand="0" w:noVBand="1"/>
      </w:tblPr>
      <w:tblGrid>
        <w:gridCol w:w="1303"/>
        <w:gridCol w:w="2689"/>
        <w:gridCol w:w="1378"/>
        <w:gridCol w:w="1492"/>
        <w:gridCol w:w="1491"/>
        <w:gridCol w:w="3719"/>
        <w:gridCol w:w="1108"/>
      </w:tblGrid>
      <w:tr w:rsidR="0090196E" w:rsidRPr="00F23BB1" w14:paraId="153BCD71" w14:textId="77777777" w:rsidTr="00227255">
        <w:trPr>
          <w:trHeight w:val="924"/>
        </w:trPr>
        <w:tc>
          <w:tcPr>
            <w:tcW w:w="1303" w:type="dxa"/>
          </w:tcPr>
          <w:p w14:paraId="5479166E"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Author</w:t>
            </w:r>
          </w:p>
          <w:p w14:paraId="445E5E84"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(year)</w:t>
            </w:r>
          </w:p>
        </w:tc>
        <w:tc>
          <w:tcPr>
            <w:tcW w:w="2689" w:type="dxa"/>
          </w:tcPr>
          <w:p w14:paraId="735CBEA6"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 xml:space="preserve">Study design and study setting </w:t>
            </w:r>
          </w:p>
        </w:tc>
        <w:tc>
          <w:tcPr>
            <w:tcW w:w="1378" w:type="dxa"/>
          </w:tcPr>
          <w:p w14:paraId="480AD832"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Sample</w:t>
            </w:r>
          </w:p>
          <w:p w14:paraId="6314D399"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size</w:t>
            </w:r>
          </w:p>
        </w:tc>
        <w:tc>
          <w:tcPr>
            <w:tcW w:w="1492" w:type="dxa"/>
          </w:tcPr>
          <w:p w14:paraId="310681D4"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Age (SD) &amp; gender</w:t>
            </w:r>
          </w:p>
        </w:tc>
        <w:tc>
          <w:tcPr>
            <w:tcW w:w="1491" w:type="dxa"/>
          </w:tcPr>
          <w:p w14:paraId="61AF7569"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Specific sarcopenia diagnosis used</w:t>
            </w:r>
          </w:p>
        </w:tc>
        <w:tc>
          <w:tcPr>
            <w:tcW w:w="3719" w:type="dxa"/>
          </w:tcPr>
          <w:p w14:paraId="23381D5B"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 xml:space="preserve">Summary of findings </w:t>
            </w:r>
          </w:p>
        </w:tc>
        <w:tc>
          <w:tcPr>
            <w:tcW w:w="1108" w:type="dxa"/>
          </w:tcPr>
          <w:p w14:paraId="3ACAE83A" w14:textId="77777777" w:rsidR="0090196E" w:rsidRPr="00F23BB1" w:rsidRDefault="0090196E" w:rsidP="00227255">
            <w:pPr>
              <w:rPr>
                <w:rFonts w:asciiTheme="minorHAnsi" w:hAnsiTheme="minorHAnsi" w:cstheme="minorHAnsi"/>
                <w:b/>
                <w:bCs/>
                <w:color w:val="auto"/>
                <w:sz w:val="22"/>
                <w:szCs w:val="22"/>
              </w:rPr>
            </w:pPr>
            <w:r w:rsidRPr="00F23BB1">
              <w:rPr>
                <w:rFonts w:asciiTheme="minorHAnsi" w:hAnsiTheme="minorHAnsi" w:cstheme="minorHAnsi"/>
                <w:b/>
                <w:bCs/>
                <w:color w:val="auto"/>
                <w:sz w:val="22"/>
                <w:szCs w:val="22"/>
              </w:rPr>
              <w:t xml:space="preserve">Quality (GRADE)  </w:t>
            </w:r>
          </w:p>
        </w:tc>
      </w:tr>
      <w:tr w:rsidR="0090196E" w:rsidRPr="00F23BB1" w14:paraId="52A64E5F" w14:textId="77777777" w:rsidTr="00227255">
        <w:trPr>
          <w:trHeight w:val="924"/>
        </w:trPr>
        <w:tc>
          <w:tcPr>
            <w:tcW w:w="1303" w:type="dxa"/>
          </w:tcPr>
          <w:p w14:paraId="32452FC2"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Chew STH et al</w:t>
            </w:r>
          </w:p>
          <w:p w14:paraId="2345F8CD"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2020 [53]</w:t>
            </w:r>
          </w:p>
        </w:tc>
        <w:tc>
          <w:tcPr>
            <w:tcW w:w="2689" w:type="dxa"/>
          </w:tcPr>
          <w:p w14:paraId="4E668359"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 xml:space="preserve">Randomized control </w:t>
            </w:r>
            <w:proofErr w:type="gramStart"/>
            <w:r w:rsidRPr="00F23BB1">
              <w:rPr>
                <w:rFonts w:asciiTheme="minorHAnsi" w:hAnsiTheme="minorHAnsi" w:cstheme="minorHAnsi"/>
                <w:color w:val="auto"/>
                <w:sz w:val="22"/>
                <w:szCs w:val="22"/>
              </w:rPr>
              <w:t>trial;</w:t>
            </w:r>
            <w:proofErr w:type="gramEnd"/>
          </w:p>
          <w:p w14:paraId="4DC9D3FC"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Community-dwelling older adults &gt;65 years at medium or high nutritional risk</w:t>
            </w:r>
          </w:p>
          <w:p w14:paraId="52D63E8A" w14:textId="77777777" w:rsidR="0090196E" w:rsidRPr="00F23BB1" w:rsidRDefault="0090196E" w:rsidP="00227255">
            <w:pPr>
              <w:rPr>
                <w:rFonts w:asciiTheme="minorHAnsi" w:hAnsiTheme="minorHAnsi" w:cstheme="minorHAnsi"/>
                <w:color w:val="auto"/>
                <w:sz w:val="22"/>
                <w:szCs w:val="22"/>
              </w:rPr>
            </w:pPr>
          </w:p>
          <w:p w14:paraId="002A25BA"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u w:val="single"/>
              </w:rPr>
              <w:t>Intervention:</w:t>
            </w:r>
            <w:r w:rsidRPr="00F23BB1">
              <w:rPr>
                <w:rFonts w:asciiTheme="minorHAnsi" w:hAnsiTheme="minorHAnsi" w:cstheme="minorHAnsi"/>
                <w:color w:val="auto"/>
                <w:sz w:val="22"/>
                <w:szCs w:val="22"/>
              </w:rPr>
              <w:t xml:space="preserve"> ONS: HMB, 262kCal, 10.5g protein, 8.5g fat, 34.2g carbohydrate, 310IU Vitamin D3 per serving; 2 servings per day</w:t>
            </w:r>
          </w:p>
          <w:p w14:paraId="6BF61221"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Duration of treatment: 180 days</w:t>
            </w:r>
          </w:p>
        </w:tc>
        <w:tc>
          <w:tcPr>
            <w:tcW w:w="1378" w:type="dxa"/>
          </w:tcPr>
          <w:p w14:paraId="5A2279B8"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bCs/>
                <w:color w:val="auto"/>
                <w:sz w:val="22"/>
                <w:szCs w:val="22"/>
              </w:rPr>
              <w:t>811 (406 intervention, 405 control)</w:t>
            </w:r>
          </w:p>
        </w:tc>
        <w:tc>
          <w:tcPr>
            <w:tcW w:w="1492" w:type="dxa"/>
          </w:tcPr>
          <w:p w14:paraId="77A46820" w14:textId="77777777" w:rsidR="0090196E" w:rsidRPr="00F23BB1" w:rsidRDefault="0090196E" w:rsidP="00227255">
            <w:pPr>
              <w:rPr>
                <w:rFonts w:asciiTheme="minorHAnsi" w:hAnsiTheme="minorHAnsi" w:cstheme="minorHAnsi"/>
                <w:color w:val="auto"/>
                <w:sz w:val="22"/>
                <w:szCs w:val="22"/>
              </w:rPr>
            </w:pPr>
            <w:proofErr w:type="gramStart"/>
            <w:r w:rsidRPr="00F23BB1">
              <w:rPr>
                <w:rFonts w:asciiTheme="minorHAnsi" w:hAnsiTheme="minorHAnsi" w:cstheme="minorHAnsi"/>
                <w:color w:val="auto"/>
                <w:sz w:val="22"/>
                <w:szCs w:val="22"/>
              </w:rPr>
              <w:t>74.15(0.26);</w:t>
            </w:r>
            <w:proofErr w:type="gramEnd"/>
          </w:p>
          <w:p w14:paraId="793B7D1F"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bCs/>
                <w:color w:val="auto"/>
                <w:sz w:val="22"/>
                <w:szCs w:val="22"/>
              </w:rPr>
              <w:t>Male=324 (40%)</w:t>
            </w:r>
          </w:p>
          <w:p w14:paraId="7A3C04DF" w14:textId="77777777" w:rsidR="0090196E" w:rsidRPr="00F23BB1" w:rsidRDefault="0090196E" w:rsidP="00227255">
            <w:pPr>
              <w:rPr>
                <w:rFonts w:asciiTheme="minorHAnsi" w:hAnsiTheme="minorHAnsi" w:cstheme="minorHAnsi"/>
                <w:color w:val="auto"/>
                <w:sz w:val="22"/>
                <w:szCs w:val="22"/>
              </w:rPr>
            </w:pPr>
          </w:p>
        </w:tc>
        <w:tc>
          <w:tcPr>
            <w:tcW w:w="1491" w:type="dxa"/>
          </w:tcPr>
          <w:p w14:paraId="6B93CD87"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NA</w:t>
            </w:r>
          </w:p>
        </w:tc>
        <w:tc>
          <w:tcPr>
            <w:tcW w:w="3719" w:type="dxa"/>
          </w:tcPr>
          <w:p w14:paraId="2040B140" w14:textId="77777777" w:rsidR="0090196E" w:rsidRPr="00F23BB1" w:rsidRDefault="0090196E" w:rsidP="0090196E">
            <w:pPr>
              <w:pStyle w:val="Paragraphedeliste"/>
              <w:numPr>
                <w:ilvl w:val="0"/>
                <w:numId w:val="33"/>
              </w:numPr>
              <w:rPr>
                <w:rFonts w:asciiTheme="minorHAnsi" w:hAnsiTheme="minorHAnsi" w:cstheme="minorHAnsi"/>
                <w:color w:val="auto"/>
                <w:sz w:val="22"/>
                <w:szCs w:val="22"/>
              </w:rPr>
            </w:pPr>
            <w:r w:rsidRPr="00F23BB1">
              <w:rPr>
                <w:rFonts w:asciiTheme="minorHAnsi" w:hAnsiTheme="minorHAnsi" w:cstheme="minorHAnsi"/>
                <w:color w:val="auto"/>
                <w:sz w:val="22"/>
                <w:szCs w:val="22"/>
              </w:rPr>
              <w:t>Intervention group was more likely to achieve primary composite outcome (33.4% vs 8.7%, p&lt;0.001)</w:t>
            </w:r>
          </w:p>
          <w:p w14:paraId="6CDCABCE" w14:textId="77777777" w:rsidR="0090196E" w:rsidRPr="00F23BB1" w:rsidRDefault="0090196E" w:rsidP="0090196E">
            <w:pPr>
              <w:pStyle w:val="Paragraphedeliste"/>
              <w:numPr>
                <w:ilvl w:val="0"/>
                <w:numId w:val="33"/>
              </w:numPr>
              <w:rPr>
                <w:rFonts w:asciiTheme="minorHAnsi" w:hAnsiTheme="minorHAnsi" w:cstheme="minorHAnsi"/>
                <w:color w:val="auto"/>
                <w:sz w:val="22"/>
                <w:szCs w:val="22"/>
              </w:rPr>
            </w:pPr>
            <w:r w:rsidRPr="00F23BB1">
              <w:rPr>
                <w:rFonts w:asciiTheme="minorHAnsi" w:hAnsiTheme="minorHAnsi" w:cstheme="minorHAnsi"/>
                <w:color w:val="auto"/>
                <w:sz w:val="22"/>
                <w:szCs w:val="22"/>
              </w:rPr>
              <w:t>Intervention associated with higher grip strength in females at Day 180, and higher leg strength in overall cohort at Day 90</w:t>
            </w:r>
          </w:p>
          <w:p w14:paraId="68B7E995" w14:textId="77777777" w:rsidR="0090196E" w:rsidRPr="00F23BB1" w:rsidRDefault="0090196E" w:rsidP="0090196E">
            <w:pPr>
              <w:pStyle w:val="Paragraphedeliste"/>
              <w:numPr>
                <w:ilvl w:val="0"/>
                <w:numId w:val="33"/>
              </w:numPr>
              <w:rPr>
                <w:rFonts w:asciiTheme="minorHAnsi" w:hAnsiTheme="minorHAnsi" w:cstheme="minorHAnsi"/>
                <w:color w:val="auto"/>
                <w:sz w:val="22"/>
                <w:szCs w:val="22"/>
              </w:rPr>
            </w:pPr>
            <w:r w:rsidRPr="00F23BB1">
              <w:rPr>
                <w:rFonts w:asciiTheme="minorHAnsi" w:hAnsiTheme="minorHAnsi" w:cstheme="minorHAnsi"/>
                <w:color w:val="auto"/>
                <w:sz w:val="22"/>
                <w:szCs w:val="22"/>
              </w:rPr>
              <w:t>Intervention was associated with greater calf and mid-arm circumference at Day 90 and Day 180 but no difference in ASMI in group with low ASMI at baseline.</w:t>
            </w:r>
          </w:p>
          <w:p w14:paraId="7288DAC2" w14:textId="77777777" w:rsidR="0090196E" w:rsidRPr="00F23BB1" w:rsidRDefault="0090196E" w:rsidP="0090196E">
            <w:pPr>
              <w:pStyle w:val="Paragraphedeliste"/>
              <w:numPr>
                <w:ilvl w:val="0"/>
                <w:numId w:val="33"/>
              </w:numPr>
              <w:rPr>
                <w:rFonts w:asciiTheme="minorHAnsi" w:hAnsiTheme="minorHAnsi" w:cstheme="minorHAnsi"/>
                <w:color w:val="auto"/>
                <w:sz w:val="22"/>
                <w:szCs w:val="22"/>
              </w:rPr>
            </w:pPr>
            <w:r w:rsidRPr="00F23BB1">
              <w:rPr>
                <w:rFonts w:asciiTheme="minorHAnsi" w:hAnsiTheme="minorHAnsi" w:cstheme="minorHAnsi"/>
                <w:color w:val="auto"/>
                <w:sz w:val="22"/>
                <w:szCs w:val="22"/>
              </w:rPr>
              <w:t>In group with normal ASMI, intervention associated with greater leg strength at Day 30 and higher ASMI at Day 90 compared with placebo</w:t>
            </w:r>
          </w:p>
        </w:tc>
        <w:tc>
          <w:tcPr>
            <w:tcW w:w="1108" w:type="dxa"/>
          </w:tcPr>
          <w:p w14:paraId="073D3852"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w:t>
            </w:r>
          </w:p>
        </w:tc>
      </w:tr>
      <w:tr w:rsidR="0090196E" w:rsidRPr="00F23BB1" w14:paraId="5FD92ECA" w14:textId="77777777" w:rsidTr="00227255">
        <w:trPr>
          <w:trHeight w:val="924"/>
        </w:trPr>
        <w:tc>
          <w:tcPr>
            <w:tcW w:w="1303" w:type="dxa"/>
          </w:tcPr>
          <w:p w14:paraId="51196F46"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Liu X et al 2020 [54]</w:t>
            </w:r>
          </w:p>
        </w:tc>
        <w:tc>
          <w:tcPr>
            <w:tcW w:w="2689" w:type="dxa"/>
          </w:tcPr>
          <w:p w14:paraId="57CEA553"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Quasi-experimental study; Community-dwelling, community setting</w:t>
            </w:r>
          </w:p>
        </w:tc>
        <w:tc>
          <w:tcPr>
            <w:tcW w:w="1378" w:type="dxa"/>
          </w:tcPr>
          <w:p w14:paraId="2DA93346"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31</w:t>
            </w:r>
          </w:p>
        </w:tc>
        <w:tc>
          <w:tcPr>
            <w:tcW w:w="1492" w:type="dxa"/>
          </w:tcPr>
          <w:p w14:paraId="4F20E144"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77.1 (5.9); Male=12 (38.7%)</w:t>
            </w:r>
          </w:p>
        </w:tc>
        <w:tc>
          <w:tcPr>
            <w:tcW w:w="1491" w:type="dxa"/>
          </w:tcPr>
          <w:p w14:paraId="3B6EC991"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NA</w:t>
            </w:r>
          </w:p>
        </w:tc>
        <w:tc>
          <w:tcPr>
            <w:tcW w:w="3719" w:type="dxa"/>
          </w:tcPr>
          <w:p w14:paraId="24378DAE" w14:textId="77777777" w:rsidR="0090196E" w:rsidRPr="00F23BB1" w:rsidRDefault="0090196E" w:rsidP="0090196E">
            <w:pPr>
              <w:pStyle w:val="Paragraphedeliste"/>
              <w:numPr>
                <w:ilvl w:val="0"/>
                <w:numId w:val="34"/>
              </w:numPr>
              <w:rPr>
                <w:rFonts w:asciiTheme="minorHAnsi" w:hAnsiTheme="minorHAnsi" w:cstheme="minorHAnsi"/>
                <w:color w:val="auto"/>
                <w:sz w:val="22"/>
                <w:szCs w:val="22"/>
              </w:rPr>
            </w:pPr>
            <w:r w:rsidRPr="00F23BB1">
              <w:rPr>
                <w:rFonts w:asciiTheme="minorHAnsi" w:hAnsiTheme="minorHAnsi" w:cstheme="minorHAnsi"/>
                <w:color w:val="auto"/>
                <w:sz w:val="22"/>
                <w:szCs w:val="22"/>
              </w:rPr>
              <w:t>Post-</w:t>
            </w:r>
            <w:proofErr w:type="spellStart"/>
            <w:r w:rsidRPr="00F23BB1">
              <w:rPr>
                <w:rFonts w:asciiTheme="minorHAnsi" w:hAnsiTheme="minorHAnsi" w:cstheme="minorHAnsi"/>
                <w:color w:val="auto"/>
                <w:sz w:val="22"/>
                <w:szCs w:val="22"/>
              </w:rPr>
              <w:t>Baduanjin</w:t>
            </w:r>
            <w:proofErr w:type="spellEnd"/>
            <w:r w:rsidRPr="00F23BB1">
              <w:rPr>
                <w:rFonts w:asciiTheme="minorHAnsi" w:hAnsiTheme="minorHAnsi" w:cstheme="minorHAnsi"/>
                <w:color w:val="auto"/>
                <w:sz w:val="22"/>
                <w:szCs w:val="22"/>
              </w:rPr>
              <w:t xml:space="preserve"> outcomes in hand grip strength, knee extension strength, TUG, MQ, FES, MoCA, GDS, and EQ-5D-5L index score appeared to be better. The reduction of frailty and PPA fall risk scores was of moderate-to-large effect size.</w:t>
            </w:r>
          </w:p>
        </w:tc>
        <w:tc>
          <w:tcPr>
            <w:tcW w:w="1108" w:type="dxa"/>
          </w:tcPr>
          <w:p w14:paraId="02430310"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w:t>
            </w:r>
          </w:p>
        </w:tc>
      </w:tr>
      <w:tr w:rsidR="0090196E" w:rsidRPr="00F23BB1" w14:paraId="3936B7BC" w14:textId="77777777" w:rsidTr="00227255">
        <w:trPr>
          <w:trHeight w:val="924"/>
        </w:trPr>
        <w:tc>
          <w:tcPr>
            <w:tcW w:w="1303" w:type="dxa"/>
          </w:tcPr>
          <w:p w14:paraId="29E4DB25" w14:textId="77777777" w:rsidR="0090196E" w:rsidRPr="00F23BB1" w:rsidRDefault="0090196E" w:rsidP="00227255">
            <w:pPr>
              <w:rPr>
                <w:rFonts w:asciiTheme="minorHAnsi" w:hAnsiTheme="minorHAnsi" w:cstheme="minorHAnsi"/>
                <w:color w:val="auto"/>
                <w:sz w:val="22"/>
                <w:szCs w:val="22"/>
                <w:lang w:eastAsia="zh-CN"/>
              </w:rPr>
            </w:pPr>
            <w:r w:rsidRPr="00F23BB1">
              <w:rPr>
                <w:rFonts w:asciiTheme="minorHAnsi" w:hAnsiTheme="minorHAnsi" w:cstheme="minorHAnsi"/>
                <w:color w:val="auto"/>
                <w:sz w:val="22"/>
                <w:szCs w:val="22"/>
              </w:rPr>
              <w:t>Lu YX et al</w:t>
            </w:r>
            <w:r w:rsidRPr="00F23BB1">
              <w:rPr>
                <w:rFonts w:asciiTheme="minorHAnsi" w:hAnsiTheme="minorHAnsi" w:cstheme="minorHAnsi"/>
                <w:color w:val="auto"/>
                <w:sz w:val="22"/>
                <w:szCs w:val="22"/>
              </w:rPr>
              <w:br/>
              <w:t>2019</w:t>
            </w:r>
            <w:r w:rsidRPr="00F23BB1">
              <w:rPr>
                <w:rStyle w:val="apple-converted-space"/>
                <w:rFonts w:asciiTheme="minorHAnsi" w:hAnsiTheme="minorHAnsi" w:cstheme="minorHAnsi"/>
                <w:color w:val="auto"/>
                <w:sz w:val="22"/>
                <w:szCs w:val="22"/>
              </w:rPr>
              <w:t> [</w:t>
            </w:r>
            <w:r w:rsidRPr="00F23BB1">
              <w:rPr>
                <w:rStyle w:val="apple-converted-space"/>
                <w:rFonts w:asciiTheme="minorHAnsi" w:hAnsiTheme="minorHAnsi" w:cstheme="minorHAnsi"/>
              </w:rPr>
              <w:t>55]</w:t>
            </w:r>
          </w:p>
          <w:p w14:paraId="4BB7EA2A" w14:textId="77777777" w:rsidR="0090196E" w:rsidRPr="00F23BB1" w:rsidRDefault="0090196E" w:rsidP="00227255">
            <w:pPr>
              <w:rPr>
                <w:rFonts w:asciiTheme="minorHAnsi" w:hAnsiTheme="minorHAnsi" w:cstheme="minorHAnsi"/>
                <w:b/>
                <w:bCs/>
                <w:color w:val="auto"/>
                <w:sz w:val="22"/>
                <w:szCs w:val="22"/>
              </w:rPr>
            </w:pPr>
          </w:p>
        </w:tc>
        <w:tc>
          <w:tcPr>
            <w:tcW w:w="2689" w:type="dxa"/>
          </w:tcPr>
          <w:p w14:paraId="699F3149" w14:textId="77777777" w:rsidR="0090196E" w:rsidRPr="00F23BB1" w:rsidRDefault="0090196E" w:rsidP="00227255">
            <w:pPr>
              <w:rPr>
                <w:rFonts w:asciiTheme="minorHAnsi" w:hAnsiTheme="minorHAnsi" w:cstheme="minorHAnsi"/>
                <w:color w:val="auto"/>
                <w:sz w:val="22"/>
                <w:szCs w:val="22"/>
                <w:lang w:eastAsia="zh-CN"/>
              </w:rPr>
            </w:pPr>
            <w:r w:rsidRPr="00F23BB1">
              <w:rPr>
                <w:rFonts w:asciiTheme="minorHAnsi" w:hAnsiTheme="minorHAnsi" w:cstheme="minorHAnsi"/>
                <w:color w:val="auto"/>
                <w:sz w:val="22"/>
                <w:szCs w:val="22"/>
              </w:rPr>
              <w:t xml:space="preserve">Post hoc secondary </w:t>
            </w:r>
            <w:proofErr w:type="gramStart"/>
            <w:r w:rsidRPr="00F23BB1">
              <w:rPr>
                <w:rFonts w:asciiTheme="minorHAnsi" w:hAnsiTheme="minorHAnsi" w:cstheme="minorHAnsi"/>
                <w:color w:val="auto"/>
                <w:sz w:val="22"/>
                <w:szCs w:val="22"/>
              </w:rPr>
              <w:t>analysis;</w:t>
            </w:r>
            <w:proofErr w:type="gramEnd"/>
            <w:r w:rsidRPr="00F23BB1">
              <w:rPr>
                <w:rFonts w:asciiTheme="minorHAnsi" w:hAnsiTheme="minorHAnsi" w:cstheme="minorHAnsi"/>
                <w:color w:val="auto"/>
                <w:sz w:val="22"/>
                <w:szCs w:val="22"/>
              </w:rPr>
              <w:t xml:space="preserve"> parallel-group randomized clinical trial; </w:t>
            </w:r>
            <w:r w:rsidRPr="00F23BB1">
              <w:rPr>
                <w:rFonts w:asciiTheme="minorHAnsi" w:hAnsiTheme="minorHAnsi" w:cstheme="minorHAnsi"/>
                <w:color w:val="auto"/>
                <w:sz w:val="22"/>
                <w:szCs w:val="22"/>
              </w:rPr>
              <w:lastRenderedPageBreak/>
              <w:t>Community-dwelling</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prefrail or frail older persons with</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 xml:space="preserve">sarcopenia; Community centres </w:t>
            </w:r>
          </w:p>
          <w:p w14:paraId="1B32AA2B" w14:textId="77777777" w:rsidR="0090196E" w:rsidRPr="00F23BB1" w:rsidRDefault="0090196E" w:rsidP="00227255">
            <w:pPr>
              <w:rPr>
                <w:rFonts w:asciiTheme="minorHAnsi" w:hAnsiTheme="minorHAnsi" w:cstheme="minorHAnsi"/>
                <w:color w:val="auto"/>
                <w:sz w:val="22"/>
                <w:szCs w:val="22"/>
              </w:rPr>
            </w:pPr>
          </w:p>
          <w:p w14:paraId="01B6F5A3" w14:textId="77777777" w:rsidR="0090196E" w:rsidRPr="00F23BB1" w:rsidRDefault="0090196E" w:rsidP="00227255">
            <w:pPr>
              <w:rPr>
                <w:rFonts w:asciiTheme="minorHAnsi" w:hAnsiTheme="minorHAnsi" w:cstheme="minorHAnsi"/>
                <w:b/>
                <w:bCs/>
                <w:color w:val="auto"/>
                <w:sz w:val="22"/>
                <w:szCs w:val="22"/>
              </w:rPr>
            </w:pPr>
          </w:p>
        </w:tc>
        <w:tc>
          <w:tcPr>
            <w:tcW w:w="1378" w:type="dxa"/>
          </w:tcPr>
          <w:p w14:paraId="62FA22AA"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lastRenderedPageBreak/>
              <w:t>92</w:t>
            </w:r>
          </w:p>
        </w:tc>
        <w:tc>
          <w:tcPr>
            <w:tcW w:w="1492" w:type="dxa"/>
          </w:tcPr>
          <w:p w14:paraId="3110B34C"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70.0(4.7);</w:t>
            </w:r>
            <w:r w:rsidRPr="00F23BB1">
              <w:rPr>
                <w:rFonts w:asciiTheme="minorHAnsi" w:hAnsiTheme="minorHAnsi" w:cstheme="minorHAnsi"/>
                <w:color w:val="auto"/>
                <w:sz w:val="22"/>
                <w:szCs w:val="22"/>
              </w:rPr>
              <w:br/>
              <w:t xml:space="preserve">Male=33 (35.9%) </w:t>
            </w:r>
          </w:p>
          <w:p w14:paraId="68BB256D" w14:textId="77777777" w:rsidR="0090196E" w:rsidRPr="00F23BB1" w:rsidRDefault="0090196E" w:rsidP="00227255">
            <w:pPr>
              <w:jc w:val="center"/>
              <w:rPr>
                <w:rFonts w:asciiTheme="minorHAnsi" w:hAnsiTheme="minorHAnsi" w:cstheme="minorHAnsi"/>
                <w:color w:val="auto"/>
                <w:sz w:val="22"/>
                <w:szCs w:val="22"/>
              </w:rPr>
            </w:pPr>
          </w:p>
        </w:tc>
        <w:tc>
          <w:tcPr>
            <w:tcW w:w="1491" w:type="dxa"/>
          </w:tcPr>
          <w:p w14:paraId="6E97B6FD"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lastRenderedPageBreak/>
              <w:t>AWGS 2014</w:t>
            </w:r>
          </w:p>
        </w:tc>
        <w:tc>
          <w:tcPr>
            <w:tcW w:w="3719" w:type="dxa"/>
          </w:tcPr>
          <w:p w14:paraId="4D53F36F" w14:textId="77777777" w:rsidR="0090196E" w:rsidRPr="00F23BB1" w:rsidRDefault="0090196E" w:rsidP="0090196E">
            <w:pPr>
              <w:pStyle w:val="Paragraphedeliste"/>
              <w:numPr>
                <w:ilvl w:val="0"/>
                <w:numId w:val="36"/>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Older persons with sarcopenia are responsive to the effects of multidomain lifestyle interventions</w:t>
            </w:r>
          </w:p>
          <w:p w14:paraId="28AEB5FA" w14:textId="77777777" w:rsidR="0090196E" w:rsidRPr="00F23BB1" w:rsidRDefault="0090196E" w:rsidP="0090196E">
            <w:pPr>
              <w:pStyle w:val="Paragraphedeliste"/>
              <w:numPr>
                <w:ilvl w:val="0"/>
                <w:numId w:val="36"/>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lastRenderedPageBreak/>
              <w:t>25 of 92 participants (27.2%) experienced sarcopenia reduction at 3 months and 24 of 92 (26.1%) had sarcopenia reduction at 6 months</w:t>
            </w:r>
          </w:p>
          <w:p w14:paraId="51880AB1" w14:textId="77777777" w:rsidR="0090196E" w:rsidRPr="00F23BB1" w:rsidRDefault="0090196E" w:rsidP="0090196E">
            <w:pPr>
              <w:pStyle w:val="Paragraphedeliste"/>
              <w:numPr>
                <w:ilvl w:val="0"/>
                <w:numId w:val="36"/>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Sarcopenia reduction was most pronounced through improved gait speed, and occurred more among those who were male, were younger, or had greater muscle mass</w:t>
            </w:r>
          </w:p>
        </w:tc>
        <w:tc>
          <w:tcPr>
            <w:tcW w:w="1108" w:type="dxa"/>
          </w:tcPr>
          <w:p w14:paraId="6B0EFE17"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lastRenderedPageBreak/>
              <w:t>++</w:t>
            </w:r>
          </w:p>
        </w:tc>
      </w:tr>
      <w:tr w:rsidR="0090196E" w:rsidRPr="00F23BB1" w14:paraId="5E5B3762" w14:textId="77777777" w:rsidTr="00227255">
        <w:trPr>
          <w:trHeight w:val="924"/>
        </w:trPr>
        <w:tc>
          <w:tcPr>
            <w:tcW w:w="1303" w:type="dxa"/>
          </w:tcPr>
          <w:p w14:paraId="0333790C"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Ng TP et al</w:t>
            </w:r>
            <w:r w:rsidRPr="00F23BB1">
              <w:rPr>
                <w:rStyle w:val="apple-converted-space"/>
                <w:rFonts w:asciiTheme="minorHAnsi" w:hAnsiTheme="minorHAnsi" w:cstheme="minorHAnsi"/>
                <w:color w:val="auto"/>
                <w:sz w:val="22"/>
                <w:szCs w:val="22"/>
              </w:rPr>
              <w:br/>
              <w:t xml:space="preserve">2015 </w:t>
            </w:r>
            <w:r w:rsidRPr="00F23BB1">
              <w:rPr>
                <w:rStyle w:val="apple-converted-space"/>
                <w:rFonts w:asciiTheme="minorHAnsi" w:hAnsiTheme="minorHAnsi" w:cstheme="minorHAnsi"/>
              </w:rPr>
              <w:t>[56]</w:t>
            </w:r>
          </w:p>
          <w:p w14:paraId="68B77B5A" w14:textId="77777777" w:rsidR="0090196E" w:rsidRPr="00F23BB1" w:rsidRDefault="0090196E" w:rsidP="00227255">
            <w:pPr>
              <w:rPr>
                <w:rFonts w:asciiTheme="minorHAnsi" w:hAnsiTheme="minorHAnsi" w:cstheme="minorHAnsi"/>
                <w:color w:val="auto"/>
                <w:sz w:val="22"/>
                <w:szCs w:val="22"/>
              </w:rPr>
            </w:pPr>
          </w:p>
        </w:tc>
        <w:tc>
          <w:tcPr>
            <w:tcW w:w="2689" w:type="dxa"/>
          </w:tcPr>
          <w:p w14:paraId="62041C2A"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 xml:space="preserve">Parallel group, randomized controlled trial; </w:t>
            </w:r>
            <w:r w:rsidRPr="00F23BB1">
              <w:rPr>
                <w:rFonts w:asciiTheme="minorHAnsi" w:hAnsiTheme="minorHAnsi" w:cstheme="minorHAnsi"/>
                <w:color w:val="auto"/>
                <w:sz w:val="22"/>
                <w:szCs w:val="22"/>
              </w:rPr>
              <w:t>Prefrail or frail older adults 65 years</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and above, cognitively intact (MMSE &gt;23), community-dwelling</w:t>
            </w:r>
          </w:p>
          <w:p w14:paraId="52B95A63" w14:textId="77777777" w:rsidR="0090196E" w:rsidRPr="00F23BB1" w:rsidRDefault="0090196E" w:rsidP="00227255">
            <w:pPr>
              <w:rPr>
                <w:rFonts w:asciiTheme="minorHAnsi" w:hAnsiTheme="minorHAnsi" w:cstheme="minorHAnsi"/>
                <w:color w:val="auto"/>
                <w:sz w:val="22"/>
                <w:szCs w:val="22"/>
              </w:rPr>
            </w:pPr>
          </w:p>
          <w:p w14:paraId="2BCD6DB8"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Excluded: major depression,</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audiovisual impairment, progressive degenerative neurologic disease,</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terminal illness with life expectancy</w:t>
            </w:r>
            <w:r w:rsidRPr="00F23BB1">
              <w:rPr>
                <w:rStyle w:val="apple-converted-space"/>
                <w:rFonts w:asciiTheme="minorHAnsi" w:hAnsiTheme="minorHAnsi" w:cstheme="minorHAnsi"/>
                <w:color w:val="auto"/>
                <w:sz w:val="22"/>
                <w:szCs w:val="22"/>
              </w:rPr>
              <w:t> </w:t>
            </w:r>
            <w:r w:rsidRPr="00F23BB1">
              <w:rPr>
                <w:rFonts w:asciiTheme="minorHAnsi" w:hAnsiTheme="minorHAnsi" w:cstheme="minorHAnsi"/>
                <w:color w:val="auto"/>
                <w:sz w:val="22"/>
                <w:szCs w:val="22"/>
              </w:rPr>
              <w:t>&lt; 12 months</w:t>
            </w:r>
          </w:p>
          <w:p w14:paraId="02F6F8F3" w14:textId="77777777" w:rsidR="0090196E" w:rsidRPr="00F23BB1" w:rsidRDefault="0090196E" w:rsidP="00227255">
            <w:pPr>
              <w:rPr>
                <w:rFonts w:asciiTheme="minorHAnsi" w:hAnsiTheme="minorHAnsi" w:cstheme="minorHAnsi"/>
                <w:color w:val="auto"/>
                <w:sz w:val="22"/>
                <w:szCs w:val="22"/>
              </w:rPr>
            </w:pPr>
          </w:p>
          <w:p w14:paraId="57B9323B" w14:textId="77777777" w:rsidR="0090196E" w:rsidRPr="00F23BB1" w:rsidRDefault="0090196E" w:rsidP="00227255">
            <w:pPr>
              <w:rPr>
                <w:rFonts w:asciiTheme="minorHAnsi" w:hAnsiTheme="minorHAnsi" w:cstheme="minorHAnsi"/>
                <w:color w:val="auto"/>
                <w:sz w:val="22"/>
                <w:szCs w:val="22"/>
              </w:rPr>
            </w:pPr>
          </w:p>
          <w:p w14:paraId="76C8E4DD" w14:textId="77777777" w:rsidR="0090196E" w:rsidRPr="00F23BB1" w:rsidRDefault="0090196E" w:rsidP="00227255">
            <w:pPr>
              <w:rPr>
                <w:rFonts w:asciiTheme="minorHAnsi" w:hAnsiTheme="minorHAnsi" w:cstheme="minorHAnsi"/>
                <w:color w:val="auto"/>
                <w:sz w:val="22"/>
                <w:szCs w:val="22"/>
              </w:rPr>
            </w:pPr>
          </w:p>
          <w:p w14:paraId="1400E48E" w14:textId="77777777" w:rsidR="0090196E" w:rsidRPr="00F23BB1" w:rsidRDefault="0090196E" w:rsidP="00227255">
            <w:pPr>
              <w:rPr>
                <w:rFonts w:asciiTheme="minorHAnsi" w:hAnsiTheme="minorHAnsi" w:cstheme="minorHAnsi"/>
                <w:color w:val="auto"/>
                <w:sz w:val="22"/>
                <w:szCs w:val="22"/>
              </w:rPr>
            </w:pPr>
          </w:p>
          <w:p w14:paraId="014CCF37" w14:textId="77777777" w:rsidR="0090196E" w:rsidRPr="00F23BB1" w:rsidRDefault="0090196E" w:rsidP="00227255">
            <w:pPr>
              <w:rPr>
                <w:rFonts w:asciiTheme="minorHAnsi" w:hAnsiTheme="minorHAnsi" w:cstheme="minorHAnsi"/>
                <w:color w:val="auto"/>
                <w:sz w:val="22"/>
                <w:szCs w:val="22"/>
              </w:rPr>
            </w:pPr>
          </w:p>
          <w:p w14:paraId="7AB62A39" w14:textId="77777777" w:rsidR="0090196E" w:rsidRPr="00F23BB1" w:rsidRDefault="0090196E" w:rsidP="00227255">
            <w:pPr>
              <w:jc w:val="center"/>
              <w:rPr>
                <w:rFonts w:asciiTheme="minorHAnsi" w:hAnsiTheme="minorHAnsi" w:cstheme="minorHAnsi"/>
                <w:color w:val="auto"/>
                <w:sz w:val="22"/>
                <w:szCs w:val="22"/>
              </w:rPr>
            </w:pPr>
          </w:p>
        </w:tc>
        <w:tc>
          <w:tcPr>
            <w:tcW w:w="1378" w:type="dxa"/>
          </w:tcPr>
          <w:p w14:paraId="397EC438"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246</w:t>
            </w:r>
          </w:p>
        </w:tc>
        <w:tc>
          <w:tcPr>
            <w:tcW w:w="1492" w:type="dxa"/>
          </w:tcPr>
          <w:p w14:paraId="4F3A72EE" w14:textId="77777777" w:rsidR="0090196E" w:rsidRPr="00F23BB1" w:rsidRDefault="0090196E" w:rsidP="00227255">
            <w:pPr>
              <w:spacing w:before="100" w:beforeAutospacing="1" w:after="100" w:afterAutospacing="1"/>
              <w:rPr>
                <w:rFonts w:asciiTheme="minorHAnsi" w:hAnsiTheme="minorHAnsi" w:cstheme="minorHAnsi"/>
                <w:color w:val="auto"/>
                <w:sz w:val="22"/>
                <w:szCs w:val="22"/>
              </w:rPr>
            </w:pPr>
            <w:r w:rsidRPr="00F23BB1">
              <w:rPr>
                <w:rFonts w:asciiTheme="minorHAnsi" w:hAnsiTheme="minorHAnsi" w:cstheme="minorHAnsi"/>
                <w:color w:val="auto"/>
                <w:sz w:val="22"/>
                <w:szCs w:val="22"/>
              </w:rPr>
              <w:t>70(4.7);</w:t>
            </w:r>
            <w:r w:rsidRPr="00F23BB1">
              <w:rPr>
                <w:rFonts w:asciiTheme="minorHAnsi" w:hAnsiTheme="minorHAnsi" w:cstheme="minorHAnsi"/>
                <w:color w:val="auto"/>
                <w:sz w:val="22"/>
                <w:szCs w:val="22"/>
              </w:rPr>
              <w:br/>
              <w:t>Male=95 (38.6%)</w:t>
            </w:r>
          </w:p>
          <w:p w14:paraId="10580575" w14:textId="77777777" w:rsidR="0090196E" w:rsidRPr="00F23BB1" w:rsidRDefault="0090196E" w:rsidP="00227255">
            <w:pPr>
              <w:rPr>
                <w:rFonts w:asciiTheme="minorHAnsi" w:hAnsiTheme="minorHAnsi" w:cstheme="minorHAnsi"/>
                <w:color w:val="auto"/>
                <w:sz w:val="22"/>
                <w:szCs w:val="22"/>
              </w:rPr>
            </w:pPr>
          </w:p>
        </w:tc>
        <w:tc>
          <w:tcPr>
            <w:tcW w:w="1491" w:type="dxa"/>
          </w:tcPr>
          <w:p w14:paraId="1BD609AF" w14:textId="77777777" w:rsidR="0090196E" w:rsidRPr="00F23BB1" w:rsidRDefault="0090196E" w:rsidP="00227255">
            <w:pPr>
              <w:rPr>
                <w:rFonts w:asciiTheme="minorHAnsi" w:hAnsiTheme="minorHAnsi" w:cstheme="minorHAnsi"/>
                <w:color w:val="auto"/>
                <w:sz w:val="22"/>
                <w:szCs w:val="22"/>
                <w:shd w:val="clear" w:color="auto" w:fill="FFFFFF"/>
              </w:rPr>
            </w:pPr>
            <w:r w:rsidRPr="00F23BB1">
              <w:rPr>
                <w:rFonts w:asciiTheme="minorHAnsi" w:hAnsiTheme="minorHAnsi" w:cstheme="minorHAnsi"/>
                <w:color w:val="auto"/>
                <w:sz w:val="22"/>
                <w:szCs w:val="22"/>
              </w:rPr>
              <w:t>NA</w:t>
            </w:r>
          </w:p>
        </w:tc>
        <w:tc>
          <w:tcPr>
            <w:tcW w:w="3719" w:type="dxa"/>
          </w:tcPr>
          <w:p w14:paraId="7D3E508B" w14:textId="77777777" w:rsidR="0090196E" w:rsidRPr="00F23BB1" w:rsidRDefault="0090196E" w:rsidP="0090196E">
            <w:pPr>
              <w:pStyle w:val="Paragraphedeliste"/>
              <w:numPr>
                <w:ilvl w:val="0"/>
                <w:numId w:val="35"/>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Frailty score and status over 12 months were reduced in all groups, including control (15%), but were significantly higher (35.6% to 47.8%) in the nutritional (OR=2.98), cognition (OR=2.89), and physical (OR=4.05) and combination (OR=5.00) intervention groups.</w:t>
            </w:r>
          </w:p>
          <w:p w14:paraId="5AA4D9C2" w14:textId="77777777" w:rsidR="0090196E" w:rsidRPr="00F23BB1" w:rsidRDefault="0090196E" w:rsidP="0090196E">
            <w:pPr>
              <w:pStyle w:val="Paragraphedeliste"/>
              <w:numPr>
                <w:ilvl w:val="0"/>
                <w:numId w:val="35"/>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 xml:space="preserve">Beneficial effects were observed at 3 months and 6 </w:t>
            </w:r>
            <w:proofErr w:type="gramStart"/>
            <w:r w:rsidRPr="00F23BB1">
              <w:rPr>
                <w:rFonts w:asciiTheme="minorHAnsi" w:hAnsiTheme="minorHAnsi" w:cstheme="minorHAnsi"/>
                <w:color w:val="auto"/>
                <w:sz w:val="22"/>
                <w:szCs w:val="22"/>
                <w:shd w:val="clear" w:color="auto" w:fill="FFFFFF"/>
              </w:rPr>
              <w:t>months, and</w:t>
            </w:r>
            <w:proofErr w:type="gramEnd"/>
            <w:r w:rsidRPr="00F23BB1">
              <w:rPr>
                <w:rFonts w:asciiTheme="minorHAnsi" w:hAnsiTheme="minorHAnsi" w:cstheme="minorHAnsi"/>
                <w:color w:val="auto"/>
                <w:sz w:val="22"/>
                <w:szCs w:val="22"/>
                <w:shd w:val="clear" w:color="auto" w:fill="FFFFFF"/>
              </w:rPr>
              <w:t xml:space="preserve"> persisted at 12 months.</w:t>
            </w:r>
          </w:p>
          <w:p w14:paraId="0142CBA9" w14:textId="77777777" w:rsidR="0090196E" w:rsidRPr="00F23BB1" w:rsidRDefault="0090196E" w:rsidP="0090196E">
            <w:pPr>
              <w:pStyle w:val="Paragraphedeliste"/>
              <w:numPr>
                <w:ilvl w:val="0"/>
                <w:numId w:val="35"/>
              </w:numPr>
              <w:rPr>
                <w:rFonts w:asciiTheme="minorHAnsi" w:hAnsiTheme="minorHAnsi" w:cstheme="minorHAnsi"/>
                <w:color w:val="auto"/>
                <w:sz w:val="22"/>
                <w:szCs w:val="22"/>
              </w:rPr>
            </w:pPr>
            <w:r w:rsidRPr="00F23BB1">
              <w:rPr>
                <w:rFonts w:asciiTheme="minorHAnsi" w:hAnsiTheme="minorHAnsi" w:cstheme="minorHAnsi"/>
                <w:color w:val="auto"/>
                <w:sz w:val="22"/>
                <w:szCs w:val="22"/>
                <w:shd w:val="clear" w:color="auto" w:fill="FFFFFF"/>
              </w:rPr>
              <w:t>Improvements in physical frailty domains (associated with interventions) were most evident for knee strength (physical, cognitive, and combination treatment), physical activity (nutritional intervention), gait speed (physical intervention), and energy (combination intervention)</w:t>
            </w:r>
          </w:p>
        </w:tc>
        <w:tc>
          <w:tcPr>
            <w:tcW w:w="1108" w:type="dxa"/>
          </w:tcPr>
          <w:p w14:paraId="7A8BC03F" w14:textId="77777777" w:rsidR="0090196E" w:rsidRPr="00F23BB1" w:rsidRDefault="0090196E" w:rsidP="00227255">
            <w:pPr>
              <w:rPr>
                <w:rFonts w:asciiTheme="minorHAnsi" w:hAnsiTheme="minorHAnsi" w:cstheme="minorHAnsi"/>
                <w:color w:val="auto"/>
                <w:sz w:val="22"/>
                <w:szCs w:val="22"/>
              </w:rPr>
            </w:pPr>
            <w:r w:rsidRPr="00F23BB1">
              <w:rPr>
                <w:rFonts w:asciiTheme="minorHAnsi" w:hAnsiTheme="minorHAnsi" w:cstheme="minorHAnsi"/>
                <w:color w:val="auto"/>
                <w:sz w:val="22"/>
                <w:szCs w:val="22"/>
              </w:rPr>
              <w:t>++</w:t>
            </w:r>
          </w:p>
        </w:tc>
      </w:tr>
    </w:tbl>
    <w:p w14:paraId="6C6891C7" w14:textId="77777777" w:rsidR="0090196E" w:rsidRPr="00F23BB1" w:rsidRDefault="0090196E" w:rsidP="0090196E">
      <w:pPr>
        <w:rPr>
          <w:rFonts w:asciiTheme="minorHAnsi" w:hAnsiTheme="minorHAnsi" w:cstheme="minorHAnsi"/>
          <w:color w:val="auto"/>
          <w:sz w:val="22"/>
          <w:szCs w:val="22"/>
        </w:rPr>
      </w:pPr>
      <w:r w:rsidRPr="00F23BB1">
        <w:rPr>
          <w:rFonts w:asciiTheme="minorHAnsi" w:hAnsiTheme="minorHAnsi" w:cstheme="minorHAnsi"/>
          <w:color w:val="auto"/>
          <w:sz w:val="22"/>
          <w:szCs w:val="22"/>
        </w:rPr>
        <w:lastRenderedPageBreak/>
        <w:t>ASMI: Appendicular</w:t>
      </w:r>
      <w:r w:rsidRPr="00F23BB1">
        <w:rPr>
          <w:rFonts w:asciiTheme="minorHAnsi" w:hAnsiTheme="minorHAnsi" w:cstheme="minorHAnsi"/>
        </w:rPr>
        <w:t xml:space="preserve"> </w:t>
      </w:r>
      <w:r w:rsidRPr="00F23BB1">
        <w:rPr>
          <w:rFonts w:asciiTheme="minorHAnsi" w:hAnsiTheme="minorHAnsi" w:cstheme="minorHAnsi"/>
          <w:color w:val="auto"/>
          <w:sz w:val="22"/>
          <w:szCs w:val="22"/>
        </w:rPr>
        <w:t>skeletal muscle mass/height</w:t>
      </w:r>
      <w:r w:rsidRPr="00F23BB1">
        <w:rPr>
          <w:rFonts w:asciiTheme="minorHAnsi" w:hAnsiTheme="minorHAnsi" w:cstheme="minorHAnsi"/>
          <w:color w:val="auto"/>
          <w:sz w:val="22"/>
          <w:szCs w:val="22"/>
          <w:vertAlign w:val="superscript"/>
        </w:rPr>
        <w:t>2</w:t>
      </w:r>
      <w:r w:rsidRPr="00F23BB1">
        <w:rPr>
          <w:rFonts w:asciiTheme="minorHAnsi" w:hAnsiTheme="minorHAnsi" w:cstheme="minorHAnsi"/>
          <w:color w:val="auto"/>
          <w:sz w:val="22"/>
          <w:szCs w:val="22"/>
        </w:rPr>
        <w:t>; FES:</w:t>
      </w:r>
      <w:r w:rsidRPr="00F23BB1">
        <w:rPr>
          <w:rFonts w:asciiTheme="minorHAnsi" w:hAnsiTheme="minorHAnsi" w:cstheme="minorHAnsi"/>
        </w:rPr>
        <w:t xml:space="preserve"> </w:t>
      </w:r>
      <w:r w:rsidRPr="00F23BB1">
        <w:rPr>
          <w:rFonts w:asciiTheme="minorHAnsi" w:hAnsiTheme="minorHAnsi" w:cstheme="minorHAnsi"/>
          <w:color w:val="auto"/>
          <w:sz w:val="22"/>
          <w:szCs w:val="22"/>
        </w:rPr>
        <w:t>Fall Efficacy Scale; GDS: Geriatric Depression Scale; HMB: beta-hydroxy-beta-</w:t>
      </w:r>
      <w:proofErr w:type="spellStart"/>
      <w:r w:rsidRPr="00F23BB1">
        <w:rPr>
          <w:rFonts w:asciiTheme="minorHAnsi" w:hAnsiTheme="minorHAnsi" w:cstheme="minorHAnsi"/>
          <w:color w:val="auto"/>
          <w:sz w:val="22"/>
          <w:szCs w:val="22"/>
        </w:rPr>
        <w:t>methylbutyrate</w:t>
      </w:r>
      <w:proofErr w:type="spellEnd"/>
      <w:r w:rsidRPr="00F23BB1">
        <w:rPr>
          <w:rFonts w:asciiTheme="minorHAnsi" w:hAnsiTheme="minorHAnsi" w:cstheme="minorHAnsi"/>
          <w:color w:val="auto"/>
          <w:sz w:val="22"/>
          <w:szCs w:val="22"/>
        </w:rPr>
        <w:t>; MMSE:</w:t>
      </w:r>
      <w:r w:rsidRPr="00F23BB1">
        <w:rPr>
          <w:rFonts w:asciiTheme="minorHAnsi" w:hAnsiTheme="minorHAnsi" w:cstheme="minorHAnsi"/>
        </w:rPr>
        <w:t xml:space="preserve"> </w:t>
      </w:r>
      <w:r w:rsidRPr="00F23BB1">
        <w:rPr>
          <w:rFonts w:asciiTheme="minorHAnsi" w:hAnsiTheme="minorHAnsi" w:cstheme="minorHAnsi"/>
          <w:color w:val="auto"/>
          <w:sz w:val="22"/>
          <w:szCs w:val="22"/>
        </w:rPr>
        <w:t>Mini-Mental State Examination score; MoCA:</w:t>
      </w:r>
      <w:r w:rsidRPr="00F23BB1">
        <w:rPr>
          <w:rFonts w:asciiTheme="minorHAnsi" w:hAnsiTheme="minorHAnsi" w:cstheme="minorHAnsi"/>
        </w:rPr>
        <w:t xml:space="preserve"> </w:t>
      </w:r>
      <w:r w:rsidRPr="00F23BB1">
        <w:rPr>
          <w:rFonts w:asciiTheme="minorHAnsi" w:hAnsiTheme="minorHAnsi" w:cstheme="minorHAnsi"/>
          <w:color w:val="auto"/>
          <w:sz w:val="22"/>
          <w:szCs w:val="22"/>
        </w:rPr>
        <w:t>Montreal Cognitive Assessment; MQ:</w:t>
      </w:r>
      <w:r w:rsidRPr="00F23BB1">
        <w:rPr>
          <w:rFonts w:asciiTheme="minorHAnsi" w:hAnsiTheme="minorHAnsi" w:cstheme="minorHAnsi"/>
        </w:rPr>
        <w:t xml:space="preserve"> </w:t>
      </w:r>
      <w:r w:rsidRPr="00F23BB1">
        <w:rPr>
          <w:rFonts w:asciiTheme="minorHAnsi" w:hAnsiTheme="minorHAnsi" w:cstheme="minorHAnsi"/>
          <w:color w:val="auto"/>
          <w:sz w:val="22"/>
          <w:szCs w:val="22"/>
        </w:rPr>
        <w:t>Maastricht Questionnaire; ONS: oral nutritional supplement; PPA: Physiological Profile Assessment; TUG:</w:t>
      </w:r>
      <w:r w:rsidRPr="00F23BB1">
        <w:rPr>
          <w:rFonts w:asciiTheme="minorHAnsi" w:hAnsiTheme="minorHAnsi" w:cstheme="minorHAnsi"/>
        </w:rPr>
        <w:t xml:space="preserve"> </w:t>
      </w:r>
      <w:r w:rsidRPr="00F23BB1">
        <w:rPr>
          <w:rFonts w:asciiTheme="minorHAnsi" w:hAnsiTheme="minorHAnsi" w:cstheme="minorHAnsi"/>
          <w:color w:val="auto"/>
          <w:sz w:val="22"/>
          <w:szCs w:val="22"/>
        </w:rPr>
        <w:t>Time Up and Go.</w:t>
      </w:r>
    </w:p>
    <w:p w14:paraId="02AD5DB5" w14:textId="77777777" w:rsidR="0090196E" w:rsidRPr="00F23BB1" w:rsidRDefault="0090196E" w:rsidP="0090196E">
      <w:pPr>
        <w:spacing w:after="160" w:line="259" w:lineRule="auto"/>
        <w:rPr>
          <w:rFonts w:asciiTheme="minorHAnsi" w:hAnsiTheme="minorHAnsi" w:cstheme="minorHAnsi"/>
        </w:rPr>
      </w:pPr>
    </w:p>
    <w:p w14:paraId="24F56F21" w14:textId="11BED815" w:rsidR="00FA343A" w:rsidRPr="0090196E" w:rsidRDefault="00FA343A" w:rsidP="0090196E"/>
    <w:sectPr w:rsidR="00FA343A" w:rsidRPr="0090196E" w:rsidSect="00FA34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155"/>
    <w:multiLevelType w:val="hybridMultilevel"/>
    <w:tmpl w:val="804C5EA0"/>
    <w:lvl w:ilvl="0" w:tplc="AA3C3E9E">
      <w:start w:val="74"/>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410021"/>
    <w:multiLevelType w:val="hybridMultilevel"/>
    <w:tmpl w:val="44CE11B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E1D1F5B"/>
    <w:multiLevelType w:val="hybridMultilevel"/>
    <w:tmpl w:val="6CC40FE8"/>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F4474F"/>
    <w:multiLevelType w:val="hybridMultilevel"/>
    <w:tmpl w:val="E134328E"/>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2842D2"/>
    <w:multiLevelType w:val="hybridMultilevel"/>
    <w:tmpl w:val="EEE4489C"/>
    <w:lvl w:ilvl="0" w:tplc="FFFFFFFF">
      <w:start w:val="1"/>
      <w:numFmt w:val="decimal"/>
      <w:lvlText w:val="%1."/>
      <w:lvlJc w:val="left"/>
      <w:pPr>
        <w:ind w:left="360" w:hanging="360"/>
      </w:pPr>
      <w:rPr>
        <w:rFonts w:hint="default"/>
      </w:rPr>
    </w:lvl>
    <w:lvl w:ilvl="1" w:tplc="AA3C3E9E">
      <w:start w:val="74"/>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EF7AAB"/>
    <w:multiLevelType w:val="hybridMultilevel"/>
    <w:tmpl w:val="F11429BE"/>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38721B6"/>
    <w:multiLevelType w:val="hybridMultilevel"/>
    <w:tmpl w:val="C2A4B7AC"/>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EE3BC2"/>
    <w:multiLevelType w:val="hybridMultilevel"/>
    <w:tmpl w:val="D4622CE0"/>
    <w:lvl w:ilvl="0" w:tplc="FFFFFFFF">
      <w:start w:val="1"/>
      <w:numFmt w:val="decimal"/>
      <w:lvlText w:val="%1."/>
      <w:lvlJc w:val="left"/>
      <w:pPr>
        <w:ind w:left="360" w:hanging="360"/>
      </w:pPr>
      <w:rPr>
        <w:rFonts w:hint="default"/>
      </w:rPr>
    </w:lvl>
    <w:lvl w:ilvl="1" w:tplc="AA3C3E9E">
      <w:start w:val="74"/>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2A46FD"/>
    <w:multiLevelType w:val="hybridMultilevel"/>
    <w:tmpl w:val="86E6CFA6"/>
    <w:lvl w:ilvl="0" w:tplc="AA3C3E9E">
      <w:start w:val="74"/>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C823A39"/>
    <w:multiLevelType w:val="hybridMultilevel"/>
    <w:tmpl w:val="B5749B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0061ABE"/>
    <w:multiLevelType w:val="hybridMultilevel"/>
    <w:tmpl w:val="5712EA0C"/>
    <w:lvl w:ilvl="0" w:tplc="FFFFFFFF">
      <w:start w:val="1"/>
      <w:numFmt w:val="bullet"/>
      <w:lvlText w:val=""/>
      <w:lvlJc w:val="left"/>
      <w:pPr>
        <w:ind w:left="360" w:hanging="360"/>
      </w:pPr>
      <w:rPr>
        <w:rFonts w:ascii="Symbol" w:hAnsi="Symbol" w:hint="default"/>
      </w:rPr>
    </w:lvl>
    <w:lvl w:ilvl="1" w:tplc="AA3C3E9E">
      <w:start w:val="74"/>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55661D7"/>
    <w:multiLevelType w:val="hybridMultilevel"/>
    <w:tmpl w:val="843A307E"/>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B65511"/>
    <w:multiLevelType w:val="hybridMultilevel"/>
    <w:tmpl w:val="0D665714"/>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02520D"/>
    <w:multiLevelType w:val="hybridMultilevel"/>
    <w:tmpl w:val="17F2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475104"/>
    <w:multiLevelType w:val="hybridMultilevel"/>
    <w:tmpl w:val="010EBA0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02D3F22"/>
    <w:multiLevelType w:val="hybridMultilevel"/>
    <w:tmpl w:val="23C00738"/>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C646DE"/>
    <w:multiLevelType w:val="hybridMultilevel"/>
    <w:tmpl w:val="ED90770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D422D34"/>
    <w:multiLevelType w:val="hybridMultilevel"/>
    <w:tmpl w:val="4A9CC2B0"/>
    <w:lvl w:ilvl="0" w:tplc="48090001">
      <w:start w:val="1"/>
      <w:numFmt w:val="bullet"/>
      <w:lvlText w:val=""/>
      <w:lvlJc w:val="left"/>
      <w:pPr>
        <w:ind w:left="360" w:hanging="360"/>
      </w:pPr>
      <w:rPr>
        <w:rFonts w:ascii="Symbol" w:hAnsi="Symbol" w:hint="default"/>
      </w:rPr>
    </w:lvl>
    <w:lvl w:ilvl="1" w:tplc="398C06E8">
      <w:start w:val="27"/>
      <w:numFmt w:val="bullet"/>
      <w:lvlText w:val="•"/>
      <w:lvlJc w:val="left"/>
      <w:pPr>
        <w:ind w:left="1440" w:hanging="720"/>
      </w:pPr>
      <w:rPr>
        <w:rFonts w:ascii="Calibri" w:eastAsia="Times New Roman" w:hAnsi="Calibri" w:cs="Calibri"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1421D5A"/>
    <w:multiLevelType w:val="hybridMultilevel"/>
    <w:tmpl w:val="A0A441A6"/>
    <w:lvl w:ilvl="0" w:tplc="48090001">
      <w:start w:val="1"/>
      <w:numFmt w:val="bullet"/>
      <w:lvlText w:val=""/>
      <w:lvlJc w:val="left"/>
      <w:pPr>
        <w:ind w:left="360" w:hanging="360"/>
      </w:pPr>
      <w:rPr>
        <w:rFonts w:ascii="Symbol" w:hAnsi="Symbol" w:hint="default"/>
      </w:rPr>
    </w:lvl>
    <w:lvl w:ilvl="1" w:tplc="1106787A">
      <w:start w:val="27"/>
      <w:numFmt w:val="bullet"/>
      <w:lvlText w:val="•"/>
      <w:lvlJc w:val="left"/>
      <w:pPr>
        <w:ind w:left="1440" w:hanging="720"/>
      </w:pPr>
      <w:rPr>
        <w:rFonts w:ascii="Calibri" w:eastAsia="Times New Roman" w:hAnsi="Calibri" w:cs="Calibri"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3DB3621"/>
    <w:multiLevelType w:val="hybridMultilevel"/>
    <w:tmpl w:val="46046C6A"/>
    <w:lvl w:ilvl="0" w:tplc="48090001">
      <w:start w:val="1"/>
      <w:numFmt w:val="bullet"/>
      <w:lvlText w:val=""/>
      <w:lvlJc w:val="left"/>
      <w:pPr>
        <w:ind w:left="360" w:hanging="360"/>
      </w:pPr>
      <w:rPr>
        <w:rFonts w:ascii="Symbol" w:hAnsi="Symbol" w:hint="default"/>
      </w:rPr>
    </w:lvl>
    <w:lvl w:ilvl="1" w:tplc="4522AC5C">
      <w:start w:val="137"/>
      <w:numFmt w:val="bullet"/>
      <w:lvlText w:val="•"/>
      <w:lvlJc w:val="left"/>
      <w:pPr>
        <w:ind w:left="1440" w:hanging="720"/>
      </w:pPr>
      <w:rPr>
        <w:rFonts w:ascii="Calibri" w:eastAsia="Times New Roman" w:hAnsi="Calibri" w:cs="Calibri"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45B61DD"/>
    <w:multiLevelType w:val="hybridMultilevel"/>
    <w:tmpl w:val="718202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55AD1B1F"/>
    <w:multiLevelType w:val="hybridMultilevel"/>
    <w:tmpl w:val="650019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565D68EE"/>
    <w:multiLevelType w:val="hybridMultilevel"/>
    <w:tmpl w:val="E0DA8E9E"/>
    <w:lvl w:ilvl="0" w:tplc="48090001">
      <w:start w:val="1"/>
      <w:numFmt w:val="bullet"/>
      <w:lvlText w:val=""/>
      <w:lvlJc w:val="left"/>
      <w:pPr>
        <w:ind w:left="360" w:hanging="360"/>
      </w:pPr>
      <w:rPr>
        <w:rFonts w:ascii="Symbol" w:hAnsi="Symbol" w:hint="default"/>
      </w:rPr>
    </w:lvl>
    <w:lvl w:ilvl="1" w:tplc="AA3C3E9E">
      <w:start w:val="74"/>
      <w:numFmt w:val="bullet"/>
      <w:lvlText w:val="-"/>
      <w:lvlJc w:val="left"/>
      <w:pPr>
        <w:ind w:left="720" w:hanging="360"/>
      </w:pPr>
      <w:rPr>
        <w:rFonts w:ascii="Calibri" w:eastAsia="Times New Roman" w:hAnsi="Calibri" w:cs="Calibri"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D10671A"/>
    <w:multiLevelType w:val="hybridMultilevel"/>
    <w:tmpl w:val="1658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524EF"/>
    <w:multiLevelType w:val="hybridMultilevel"/>
    <w:tmpl w:val="18F61E58"/>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E553145"/>
    <w:multiLevelType w:val="hybridMultilevel"/>
    <w:tmpl w:val="AF5862AC"/>
    <w:lvl w:ilvl="0" w:tplc="AA3C3E9E">
      <w:start w:val="74"/>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1AA7759"/>
    <w:multiLevelType w:val="hybridMultilevel"/>
    <w:tmpl w:val="EA6AAC1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7A15EF5"/>
    <w:multiLevelType w:val="hybridMultilevel"/>
    <w:tmpl w:val="C07A8CD8"/>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8E60A7D"/>
    <w:multiLevelType w:val="hybridMultilevel"/>
    <w:tmpl w:val="1ABE55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698031FC"/>
    <w:multiLevelType w:val="hybridMultilevel"/>
    <w:tmpl w:val="874C1876"/>
    <w:lvl w:ilvl="0" w:tplc="4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075F54"/>
    <w:multiLevelType w:val="hybridMultilevel"/>
    <w:tmpl w:val="B70618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15:restartNumberingAfterBreak="0">
    <w:nsid w:val="70EF5F79"/>
    <w:multiLevelType w:val="hybridMultilevel"/>
    <w:tmpl w:val="D01435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73E43FCF"/>
    <w:multiLevelType w:val="hybridMultilevel"/>
    <w:tmpl w:val="4EDCB0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15:restartNumberingAfterBreak="0">
    <w:nsid w:val="770674B2"/>
    <w:multiLevelType w:val="hybridMultilevel"/>
    <w:tmpl w:val="CFB4AA8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8507015"/>
    <w:multiLevelType w:val="hybridMultilevel"/>
    <w:tmpl w:val="EEA02328"/>
    <w:lvl w:ilvl="0" w:tplc="4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B3A385C"/>
    <w:multiLevelType w:val="hybridMultilevel"/>
    <w:tmpl w:val="E048D2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954168295">
    <w:abstractNumId w:val="13"/>
  </w:num>
  <w:num w:numId="2" w16cid:durableId="2044791318">
    <w:abstractNumId w:val="19"/>
  </w:num>
  <w:num w:numId="3" w16cid:durableId="1796407444">
    <w:abstractNumId w:val="23"/>
  </w:num>
  <w:num w:numId="4" w16cid:durableId="2016179863">
    <w:abstractNumId w:val="17"/>
  </w:num>
  <w:num w:numId="5" w16cid:durableId="1607227482">
    <w:abstractNumId w:val="9"/>
  </w:num>
  <w:num w:numId="6" w16cid:durableId="664943889">
    <w:abstractNumId w:val="32"/>
  </w:num>
  <w:num w:numId="7" w16cid:durableId="828443824">
    <w:abstractNumId w:val="21"/>
  </w:num>
  <w:num w:numId="8" w16cid:durableId="1311668292">
    <w:abstractNumId w:val="28"/>
  </w:num>
  <w:num w:numId="9" w16cid:durableId="2102796536">
    <w:abstractNumId w:val="30"/>
  </w:num>
  <w:num w:numId="10" w16cid:durableId="495847655">
    <w:abstractNumId w:val="20"/>
  </w:num>
  <w:num w:numId="11" w16cid:durableId="377974237">
    <w:abstractNumId w:val="22"/>
  </w:num>
  <w:num w:numId="12" w16cid:durableId="530799903">
    <w:abstractNumId w:val="14"/>
  </w:num>
  <w:num w:numId="13" w16cid:durableId="696395362">
    <w:abstractNumId w:val="8"/>
  </w:num>
  <w:num w:numId="14" w16cid:durableId="474681052">
    <w:abstractNumId w:val="25"/>
  </w:num>
  <w:num w:numId="15" w16cid:durableId="784078312">
    <w:abstractNumId w:val="33"/>
  </w:num>
  <w:num w:numId="16" w16cid:durableId="1837651759">
    <w:abstractNumId w:val="1"/>
  </w:num>
  <w:num w:numId="17" w16cid:durableId="1761095972">
    <w:abstractNumId w:val="16"/>
  </w:num>
  <w:num w:numId="18" w16cid:durableId="2115861833">
    <w:abstractNumId w:val="27"/>
  </w:num>
  <w:num w:numId="19" w16cid:durableId="1265990026">
    <w:abstractNumId w:val="7"/>
  </w:num>
  <w:num w:numId="20" w16cid:durableId="2030909302">
    <w:abstractNumId w:val="15"/>
  </w:num>
  <w:num w:numId="21" w16cid:durableId="1310862574">
    <w:abstractNumId w:val="6"/>
  </w:num>
  <w:num w:numId="22" w16cid:durableId="1619607288">
    <w:abstractNumId w:val="29"/>
  </w:num>
  <w:num w:numId="23" w16cid:durableId="979460447">
    <w:abstractNumId w:val="4"/>
  </w:num>
  <w:num w:numId="24" w16cid:durableId="516310025">
    <w:abstractNumId w:val="3"/>
  </w:num>
  <w:num w:numId="25" w16cid:durableId="1518546774">
    <w:abstractNumId w:val="5"/>
  </w:num>
  <w:num w:numId="26" w16cid:durableId="1048643905">
    <w:abstractNumId w:val="10"/>
  </w:num>
  <w:num w:numId="27" w16cid:durableId="753279449">
    <w:abstractNumId w:val="24"/>
  </w:num>
  <w:num w:numId="28" w16cid:durableId="1105345246">
    <w:abstractNumId w:val="34"/>
  </w:num>
  <w:num w:numId="29" w16cid:durableId="888420953">
    <w:abstractNumId w:val="12"/>
  </w:num>
  <w:num w:numId="30" w16cid:durableId="1917586508">
    <w:abstractNumId w:val="11"/>
  </w:num>
  <w:num w:numId="31" w16cid:durableId="1052772583">
    <w:abstractNumId w:val="31"/>
  </w:num>
  <w:num w:numId="32" w16cid:durableId="1435442742">
    <w:abstractNumId w:val="0"/>
  </w:num>
  <w:num w:numId="33" w16cid:durableId="1555775728">
    <w:abstractNumId w:val="18"/>
  </w:num>
  <w:num w:numId="34" w16cid:durableId="718628692">
    <w:abstractNumId w:val="35"/>
  </w:num>
  <w:num w:numId="35" w16cid:durableId="183134965">
    <w:abstractNumId w:val="2"/>
  </w:num>
  <w:num w:numId="36" w16cid:durableId="1961606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yMDU2tbC0tDQ3MzFQ0lEKTi0uzszPAykwrAUAr0xj8SwAAAA="/>
  </w:docVars>
  <w:rsids>
    <w:rsidRoot w:val="00FA343A"/>
    <w:rsid w:val="00670BBC"/>
    <w:rsid w:val="007D2420"/>
    <w:rsid w:val="008846D3"/>
    <w:rsid w:val="0090196E"/>
    <w:rsid w:val="00980A4D"/>
    <w:rsid w:val="00F713AF"/>
    <w:rsid w:val="00FA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71F6"/>
  <w15:chartTrackingRefBased/>
  <w15:docId w15:val="{6B503A0D-AD58-4BF9-9147-1DFF6FD5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3A"/>
    <w:pPr>
      <w:spacing w:after="0" w:line="240" w:lineRule="auto"/>
    </w:pPr>
    <w:rPr>
      <w:rFonts w:ascii="Times New Roman" w:eastAsia="Times New Roman" w:hAnsi="Times New Roman" w:cs="Times New Roman"/>
      <w:color w:val="000000"/>
      <w:kern w:val="28"/>
      <w:sz w:val="20"/>
      <w:szCs w:val="20"/>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A343A"/>
    <w:pPr>
      <w:spacing w:after="0" w:line="240" w:lineRule="auto"/>
    </w:pPr>
    <w:rPr>
      <w:rFonts w:eastAsiaTheme="minorHAnsi"/>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A343A"/>
    <w:pPr>
      <w:ind w:left="720"/>
      <w:contextualSpacing/>
    </w:pPr>
  </w:style>
  <w:style w:type="character" w:customStyle="1" w:styleId="apple-converted-space">
    <w:name w:val="apple-converted-space"/>
    <w:basedOn w:val="Policepardfaut"/>
    <w:rsid w:val="00FA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Cheong Chin Yee (Rachel)</dc:creator>
  <cp:keywords/>
  <dc:description/>
  <cp:lastModifiedBy>Virginie Cassigneul</cp:lastModifiedBy>
  <cp:revision>2</cp:revision>
  <dcterms:created xsi:type="dcterms:W3CDTF">2022-09-30T09:34:00Z</dcterms:created>
  <dcterms:modified xsi:type="dcterms:W3CDTF">2022-09-30T09:34:00Z</dcterms:modified>
</cp:coreProperties>
</file>