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817D" w14:textId="77777777" w:rsidR="00416D9D" w:rsidRDefault="00416D9D" w:rsidP="00FB2322">
      <w:pPr>
        <w:pStyle w:val="Titre3"/>
        <w:spacing w:before="240" w:after="240" w:line="480" w:lineRule="auto"/>
        <w:rPr>
          <w:rFonts w:ascii="Times New Roman" w:hAnsi="Times New Roman" w:cs="Times New Roman"/>
          <w:bCs/>
          <w:lang w:val="es-419"/>
        </w:rPr>
      </w:pPr>
      <w:r>
        <w:rPr>
          <w:rFonts w:ascii="Times New Roman" w:hAnsi="Times New Roman" w:cs="Times New Roman"/>
          <w:bCs/>
          <w:lang w:val="es-419"/>
        </w:rPr>
        <w:t>Supplemental material</w:t>
      </w:r>
      <w:r w:rsidR="00FB2322" w:rsidRPr="00FB2322">
        <w:rPr>
          <w:rFonts w:ascii="Times New Roman" w:hAnsi="Times New Roman" w:cs="Times New Roman"/>
          <w:bCs/>
          <w:lang w:val="es-419"/>
        </w:rPr>
        <w:t xml:space="preserve"> </w:t>
      </w:r>
    </w:p>
    <w:p w14:paraId="576252DA" w14:textId="77777777" w:rsidR="00416D9D" w:rsidRDefault="00416D9D" w:rsidP="00C90262">
      <w:pPr>
        <w:pStyle w:val="Titre3"/>
        <w:numPr>
          <w:ilvl w:val="0"/>
          <w:numId w:val="3"/>
        </w:numPr>
        <w:spacing w:before="240" w:after="240" w:line="480" w:lineRule="auto"/>
        <w:rPr>
          <w:rFonts w:ascii="Times New Roman" w:hAnsi="Times New Roman" w:cs="Times New Roman"/>
          <w:bCs/>
          <w:lang w:val="es-419"/>
        </w:rPr>
      </w:pPr>
      <w:r w:rsidRPr="00F23B01">
        <w:rPr>
          <w:rFonts w:ascii="Times New Roman" w:hAnsi="Times New Roman" w:cs="Times New Roman"/>
          <w:bCs/>
          <w:lang w:val="es-419"/>
        </w:rPr>
        <w:t>eData</w:t>
      </w:r>
      <w:r w:rsidR="00F23B01">
        <w:rPr>
          <w:rFonts w:ascii="Times New Roman" w:hAnsi="Times New Roman" w:cs="Times New Roman"/>
          <w:bCs/>
          <w:lang w:val="es-419"/>
        </w:rPr>
        <w:t>1</w:t>
      </w:r>
      <w:r w:rsidRPr="00F23B01">
        <w:rPr>
          <w:rFonts w:ascii="Times New Roman" w:hAnsi="Times New Roman" w:cs="Times New Roman"/>
          <w:bCs/>
          <w:lang w:val="es-419"/>
        </w:rPr>
        <w:t>.-Truncation and missing data</w:t>
      </w:r>
    </w:p>
    <w:p w14:paraId="7211691B" w14:textId="77777777" w:rsidR="00591E17" w:rsidRPr="00591E17" w:rsidRDefault="00591E17" w:rsidP="00591E17">
      <w:pPr>
        <w:pStyle w:val="Paragraphedeliste"/>
        <w:numPr>
          <w:ilvl w:val="0"/>
          <w:numId w:val="3"/>
        </w:numPr>
        <w:spacing w:before="240" w:line="480" w:lineRule="auto"/>
        <w:ind w:right="426"/>
        <w:jc w:val="both"/>
        <w:rPr>
          <w:rFonts w:ascii="Times New Roman" w:eastAsia="Times New Roman" w:hAnsi="Times New Roman" w:cs="Times New Roman"/>
          <w:b/>
          <w:sz w:val="24"/>
          <w:szCs w:val="24"/>
          <w:lang w:val="en" w:eastAsia="es-ES"/>
        </w:rPr>
      </w:pPr>
      <w:r w:rsidRPr="00591E17">
        <w:rPr>
          <w:rFonts w:ascii="Times New Roman" w:eastAsia="Times New Roman" w:hAnsi="Times New Roman" w:cs="Times New Roman"/>
          <w:b/>
          <w:sz w:val="24"/>
          <w:szCs w:val="24"/>
          <w:lang w:val="en" w:eastAsia="es-ES"/>
        </w:rPr>
        <w:t>eData2.-</w:t>
      </w:r>
      <w:r w:rsidR="001B0BE6">
        <w:rPr>
          <w:rFonts w:ascii="Times New Roman" w:eastAsia="Times New Roman" w:hAnsi="Times New Roman" w:cs="Times New Roman"/>
          <w:b/>
          <w:sz w:val="24"/>
          <w:szCs w:val="24"/>
          <w:lang w:val="en" w:eastAsia="es-ES"/>
        </w:rPr>
        <w:t>Data l</w:t>
      </w:r>
      <w:r w:rsidRPr="00591E17">
        <w:rPr>
          <w:rFonts w:ascii="Times New Roman" w:eastAsia="Times New Roman" w:hAnsi="Times New Roman" w:cs="Times New Roman"/>
          <w:b/>
          <w:sz w:val="24"/>
          <w:szCs w:val="24"/>
          <w:lang w:val="en" w:eastAsia="es-ES"/>
        </w:rPr>
        <w:t xml:space="preserve">imitations </w:t>
      </w:r>
    </w:p>
    <w:p w14:paraId="20FA30F0" w14:textId="77777777" w:rsidR="00416D9D" w:rsidRPr="00F23B01" w:rsidRDefault="00416D9D" w:rsidP="00C90262">
      <w:pPr>
        <w:pStyle w:val="Titre3"/>
        <w:numPr>
          <w:ilvl w:val="0"/>
          <w:numId w:val="3"/>
        </w:numPr>
        <w:spacing w:before="240" w:after="240" w:line="480" w:lineRule="auto"/>
        <w:rPr>
          <w:rFonts w:ascii="Times New Roman" w:hAnsi="Times New Roman" w:cs="Times New Roman"/>
        </w:rPr>
      </w:pPr>
      <w:r w:rsidRPr="00F23B01">
        <w:rPr>
          <w:rFonts w:ascii="Times New Roman" w:hAnsi="Times New Roman" w:cs="Times New Roman"/>
          <w:bCs/>
          <w:lang w:val="es-419"/>
        </w:rPr>
        <w:t xml:space="preserve">eMethods1.- </w:t>
      </w:r>
      <w:r w:rsidRPr="00F23B01">
        <w:rPr>
          <w:rFonts w:ascii="Times New Roman" w:hAnsi="Times New Roman" w:cs="Times New Roman"/>
        </w:rPr>
        <w:t>Modelling design</w:t>
      </w:r>
    </w:p>
    <w:p w14:paraId="3934320B" w14:textId="77777777" w:rsidR="00416D9D" w:rsidRPr="00F23B01" w:rsidRDefault="00416D9D" w:rsidP="00C90262">
      <w:pPr>
        <w:pStyle w:val="Titre3"/>
        <w:numPr>
          <w:ilvl w:val="0"/>
          <w:numId w:val="3"/>
        </w:numPr>
        <w:spacing w:before="240" w:after="240" w:line="480" w:lineRule="auto"/>
        <w:rPr>
          <w:rFonts w:ascii="Times New Roman" w:hAnsi="Times New Roman" w:cs="Times New Roman"/>
        </w:rPr>
      </w:pPr>
      <w:r w:rsidRPr="00F23B01">
        <w:rPr>
          <w:rFonts w:ascii="Times New Roman" w:hAnsi="Times New Roman" w:cs="Times New Roman"/>
          <w:bCs/>
          <w:lang w:val="es-419"/>
        </w:rPr>
        <w:t xml:space="preserve">eMethods2.- </w:t>
      </w:r>
      <w:r w:rsidRPr="00F23B01">
        <w:rPr>
          <w:rFonts w:ascii="Times New Roman" w:hAnsi="Times New Roman" w:cs="Times New Roman"/>
        </w:rPr>
        <w:t>Model description</w:t>
      </w:r>
    </w:p>
    <w:p w14:paraId="22709515" w14:textId="77777777" w:rsidR="00416D9D" w:rsidRPr="007E7CB6" w:rsidRDefault="00416D9D" w:rsidP="00C90262">
      <w:pPr>
        <w:pStyle w:val="Titre3"/>
        <w:numPr>
          <w:ilvl w:val="0"/>
          <w:numId w:val="3"/>
        </w:numPr>
        <w:spacing w:before="240" w:after="240"/>
        <w:rPr>
          <w:rFonts w:ascii="Times New Roman" w:hAnsi="Times New Roman" w:cs="Times New Roman"/>
          <w:bCs/>
        </w:rPr>
      </w:pPr>
      <w:r w:rsidRPr="007E7CB6">
        <w:rPr>
          <w:rFonts w:ascii="Times New Roman" w:hAnsi="Times New Roman" w:cs="Times New Roman"/>
          <w:bCs/>
        </w:rPr>
        <w:t>eTable1.-Multistate transition model, Cox Proportional Model with stratified hazard (by transition type)</w:t>
      </w:r>
    </w:p>
    <w:p w14:paraId="54140C3D" w14:textId="77777777" w:rsidR="00E25D8D" w:rsidRPr="007E7CB6" w:rsidRDefault="00E25D8D" w:rsidP="00E25D8D">
      <w:pPr>
        <w:rPr>
          <w:lang w:val="en-US"/>
        </w:rPr>
      </w:pPr>
    </w:p>
    <w:p w14:paraId="20265030" w14:textId="77777777" w:rsidR="00E25D8D" w:rsidRPr="007E7CB6" w:rsidRDefault="00E25D8D" w:rsidP="00E25D8D">
      <w:pPr>
        <w:rPr>
          <w:lang w:val="en-US"/>
        </w:rPr>
      </w:pPr>
    </w:p>
    <w:p w14:paraId="78DEF49C" w14:textId="77777777" w:rsidR="00E25D8D" w:rsidRPr="007E7CB6" w:rsidRDefault="00E25D8D" w:rsidP="00E25D8D">
      <w:pPr>
        <w:rPr>
          <w:lang w:val="en-US"/>
        </w:rPr>
      </w:pPr>
    </w:p>
    <w:p w14:paraId="1C5B0733" w14:textId="77777777" w:rsidR="00E25D8D" w:rsidRPr="007E7CB6" w:rsidRDefault="00E25D8D" w:rsidP="00E25D8D">
      <w:pPr>
        <w:rPr>
          <w:lang w:val="en-US"/>
        </w:rPr>
      </w:pPr>
    </w:p>
    <w:p w14:paraId="6B2FF32F" w14:textId="77777777" w:rsidR="00E25D8D" w:rsidRPr="007E7CB6" w:rsidRDefault="00E25D8D" w:rsidP="00E25D8D">
      <w:pPr>
        <w:rPr>
          <w:lang w:val="en-US"/>
        </w:rPr>
      </w:pPr>
    </w:p>
    <w:p w14:paraId="2991531A" w14:textId="77777777" w:rsidR="00E25D8D" w:rsidRPr="007E7CB6" w:rsidRDefault="00E25D8D" w:rsidP="00E25D8D">
      <w:pPr>
        <w:rPr>
          <w:lang w:val="en-US"/>
        </w:rPr>
      </w:pPr>
    </w:p>
    <w:p w14:paraId="472DDE31" w14:textId="77777777" w:rsidR="00E25D8D" w:rsidRPr="007E7CB6" w:rsidRDefault="00E25D8D" w:rsidP="00E25D8D">
      <w:pPr>
        <w:rPr>
          <w:lang w:val="en-US"/>
        </w:rPr>
      </w:pPr>
    </w:p>
    <w:p w14:paraId="45B1DE29" w14:textId="77777777" w:rsidR="00E25D8D" w:rsidRPr="007E7CB6" w:rsidRDefault="00E25D8D" w:rsidP="00E25D8D">
      <w:pPr>
        <w:rPr>
          <w:lang w:val="en-US"/>
        </w:rPr>
      </w:pPr>
    </w:p>
    <w:p w14:paraId="53A494FF" w14:textId="77777777" w:rsidR="00E25D8D" w:rsidRPr="007E7CB6" w:rsidRDefault="00E25D8D" w:rsidP="00E25D8D">
      <w:pPr>
        <w:rPr>
          <w:lang w:val="en-US"/>
        </w:rPr>
      </w:pPr>
    </w:p>
    <w:p w14:paraId="6BF4ED20" w14:textId="77777777" w:rsidR="00E25D8D" w:rsidRPr="007E7CB6" w:rsidRDefault="00E25D8D" w:rsidP="00E25D8D">
      <w:pPr>
        <w:rPr>
          <w:lang w:val="en-US"/>
        </w:rPr>
      </w:pPr>
    </w:p>
    <w:p w14:paraId="2E39D372" w14:textId="77777777" w:rsidR="00E25D8D" w:rsidRPr="007E7CB6" w:rsidRDefault="00E25D8D" w:rsidP="00E25D8D">
      <w:pPr>
        <w:rPr>
          <w:lang w:val="en-US"/>
        </w:rPr>
      </w:pPr>
    </w:p>
    <w:p w14:paraId="7B7188C3" w14:textId="77777777" w:rsidR="00E25D8D" w:rsidRPr="007E7CB6" w:rsidRDefault="00E25D8D" w:rsidP="00E25D8D">
      <w:pPr>
        <w:rPr>
          <w:lang w:val="en-US"/>
        </w:rPr>
      </w:pPr>
    </w:p>
    <w:p w14:paraId="4D98A490" w14:textId="77777777" w:rsidR="00E25D8D" w:rsidRPr="007E7CB6" w:rsidRDefault="00E25D8D" w:rsidP="00E25D8D">
      <w:pPr>
        <w:rPr>
          <w:lang w:val="en-US"/>
        </w:rPr>
      </w:pPr>
    </w:p>
    <w:p w14:paraId="73EE0EBD" w14:textId="77777777" w:rsidR="00E25D8D" w:rsidRPr="007E7CB6" w:rsidRDefault="00E25D8D" w:rsidP="00E25D8D">
      <w:pPr>
        <w:rPr>
          <w:lang w:val="en-US"/>
        </w:rPr>
      </w:pPr>
    </w:p>
    <w:p w14:paraId="0EB84E1E" w14:textId="77777777" w:rsidR="00E25D8D" w:rsidRPr="007E7CB6" w:rsidRDefault="00E25D8D" w:rsidP="00E25D8D">
      <w:pPr>
        <w:rPr>
          <w:lang w:val="en-US"/>
        </w:rPr>
      </w:pPr>
    </w:p>
    <w:p w14:paraId="4F998647" w14:textId="77777777" w:rsidR="00E25D8D" w:rsidRPr="007E7CB6" w:rsidRDefault="00E25D8D" w:rsidP="00E25D8D">
      <w:pPr>
        <w:rPr>
          <w:lang w:val="en-US"/>
        </w:rPr>
      </w:pPr>
    </w:p>
    <w:p w14:paraId="4FC1202B" w14:textId="77777777" w:rsidR="00E25D8D" w:rsidRPr="007E7CB6" w:rsidRDefault="00E25D8D" w:rsidP="00E25D8D">
      <w:pPr>
        <w:rPr>
          <w:lang w:val="en-US"/>
        </w:rPr>
      </w:pPr>
    </w:p>
    <w:p w14:paraId="3EFBEB50" w14:textId="77777777" w:rsidR="00E25D8D" w:rsidRPr="007E7CB6" w:rsidRDefault="00E25D8D" w:rsidP="00E25D8D">
      <w:pPr>
        <w:rPr>
          <w:lang w:val="en-US"/>
        </w:rPr>
      </w:pPr>
    </w:p>
    <w:p w14:paraId="617F1FCC" w14:textId="77777777" w:rsidR="00E25D8D" w:rsidRPr="007E7CB6" w:rsidRDefault="00E25D8D" w:rsidP="00E25D8D">
      <w:pPr>
        <w:rPr>
          <w:lang w:val="en-US"/>
        </w:rPr>
      </w:pPr>
    </w:p>
    <w:p w14:paraId="64F3B6BD" w14:textId="77777777" w:rsidR="00FB2322" w:rsidRPr="007E7CB6" w:rsidRDefault="00416D9D" w:rsidP="00FB2322">
      <w:pPr>
        <w:pStyle w:val="Titre3"/>
        <w:spacing w:before="240" w:after="240" w:line="480" w:lineRule="auto"/>
        <w:rPr>
          <w:rFonts w:ascii="Times New Roman" w:hAnsi="Times New Roman" w:cs="Times New Roman"/>
          <w:bCs/>
        </w:rPr>
      </w:pPr>
      <w:r w:rsidRPr="007E7CB6">
        <w:rPr>
          <w:rFonts w:ascii="Times New Roman" w:hAnsi="Times New Roman" w:cs="Times New Roman"/>
          <w:bCs/>
        </w:rPr>
        <w:lastRenderedPageBreak/>
        <w:t>eData</w:t>
      </w:r>
      <w:r w:rsidR="00F23B01" w:rsidRPr="007E7CB6">
        <w:rPr>
          <w:rFonts w:ascii="Times New Roman" w:hAnsi="Times New Roman" w:cs="Times New Roman"/>
          <w:bCs/>
        </w:rPr>
        <w:t>1</w:t>
      </w:r>
      <w:r w:rsidRPr="007E7CB6">
        <w:rPr>
          <w:rFonts w:ascii="Times New Roman" w:hAnsi="Times New Roman" w:cs="Times New Roman"/>
          <w:bCs/>
        </w:rPr>
        <w:t>.-</w:t>
      </w:r>
      <w:r w:rsidR="00FB2322" w:rsidRPr="007E7CB6">
        <w:rPr>
          <w:rFonts w:ascii="Times New Roman" w:hAnsi="Times New Roman" w:cs="Times New Roman"/>
          <w:bCs/>
        </w:rPr>
        <w:t>Truncation and missing data</w:t>
      </w:r>
    </w:p>
    <w:p w14:paraId="74B6647F" w14:textId="7E448A3E" w:rsidR="00EE1CD3" w:rsidRPr="00E25D8D" w:rsidRDefault="008D4557" w:rsidP="00E25D8D">
      <w:pPr>
        <w:spacing w:before="240" w:line="240" w:lineRule="auto"/>
        <w:jc w:val="both"/>
        <w:rPr>
          <w:rFonts w:ascii="Times New Roman" w:hAnsi="Times New Roman" w:cs="Times New Roman"/>
          <w:sz w:val="20"/>
          <w:szCs w:val="20"/>
        </w:rPr>
      </w:pPr>
      <w:r w:rsidRPr="00E25D8D">
        <w:rPr>
          <w:rFonts w:ascii="Times New Roman" w:hAnsi="Times New Roman" w:cs="Times New Roman"/>
          <w:sz w:val="20"/>
          <w:szCs w:val="20"/>
        </w:rPr>
        <w:t>L</w:t>
      </w:r>
      <w:r w:rsidR="00EE1CD3" w:rsidRPr="00E25D8D">
        <w:rPr>
          <w:rFonts w:ascii="Times New Roman" w:hAnsi="Times New Roman" w:cs="Times New Roman"/>
          <w:sz w:val="20"/>
          <w:szCs w:val="20"/>
        </w:rPr>
        <w:t>arge percentages of missing and truncated data persist in EU-SILC countries that only provided register data (See Table 1</w:t>
      </w:r>
      <w:r w:rsidRPr="00E25D8D">
        <w:rPr>
          <w:rFonts w:ascii="Times New Roman" w:hAnsi="Times New Roman" w:cs="Times New Roman"/>
          <w:sz w:val="20"/>
          <w:szCs w:val="20"/>
        </w:rPr>
        <w:t xml:space="preserve"> </w:t>
      </w:r>
      <w:r w:rsidR="005512E0">
        <w:rPr>
          <w:rFonts w:ascii="Times New Roman" w:hAnsi="Times New Roman" w:cs="Times New Roman"/>
          <w:sz w:val="20"/>
          <w:szCs w:val="20"/>
        </w:rPr>
        <w:t>below</w:t>
      </w:r>
      <w:r w:rsidR="00EE1CD3" w:rsidRPr="00E25D8D">
        <w:rPr>
          <w:rFonts w:ascii="Times New Roman" w:hAnsi="Times New Roman" w:cs="Times New Roman"/>
          <w:sz w:val="20"/>
          <w:szCs w:val="20"/>
        </w:rPr>
        <w:t xml:space="preserve">). For example, there are high proportions of missing data at the first follow up (time 2) in Slovenia (64%) and the Northern European countries (52-60%), remaining quite constant across the period of study, while the surveyed countries show response rate ranging from 3% (Austria, Greece) to 17% (Czech Republic). Despite the fact that some researchers consider the coverage rates of register data to be generally better than survey data (particularly in the measure of gross disposable income), personal health variables are typically not available in register data </w:t>
      </w:r>
      <w:r w:rsidR="00EE1CD3" w:rsidRPr="00E25D8D">
        <w:rPr>
          <w:rFonts w:ascii="Times New Roman" w:hAnsi="Times New Roman" w:cs="Times New Roman"/>
          <w:sz w:val="20"/>
          <w:szCs w:val="20"/>
        </w:rPr>
        <w:fldChar w:fldCharType="begin" w:fldLock="1"/>
      </w:r>
      <w:r w:rsidR="006A2414">
        <w:rPr>
          <w:rFonts w:ascii="Times New Roman" w:hAnsi="Times New Roman" w:cs="Times New Roman"/>
          <w:sz w:val="20"/>
          <w:szCs w:val="20"/>
        </w:rPr>
        <w:instrText>ADDIN CSL_CITATION {"citationItems":[{"id":"ITEM-1","itemData":{"DOI":"10.2785/4549","ISBN":"978-92-79-30371-5","abstract":"Most Member States have been moving or intend to move towards an increased use of administrative data for statistical purposes. This Working Paper discusses the use of registers data in combination with interviews data in household sample surveys, with special reference to the EU-SILC. Despite some disadvantages, the Working Paper concludes that for both cost and quality reasons, the way forward is to expand the use of registers in EU-SILC. In the short-run, the greatest potential gain may come from replacing survey questions on social benefits and employment income with valid register data in as many EU-SILC countries as possible. However, using registers can cause timeliness problems due to late data delivery by income data owners and due to extensive practices intended to ensure internal consistency. Also, the transition from survey data to administrative can have an impact on data comparability across time within a country and across countries. It may, in particular, cause breaks in data series and it involves risks for policy monitoring and for the assessment of progress made towards the national and EU social inclusion targets. The best approach should be sustainable in the long term, taking account of aspects of governance, flexibility of implementation and the necessary trade-offs with timeliness requirements for statistical results.","author":[{"dropping-particle":"","family":"Jäntti","given":"Markus","non-dropping-particle":"","parse-names":false,"suffix":""},{"dropping-particle":"","family":"Törmälehto","given":"Veli-Matti","non-dropping-particle":"","parse-names":false,"suffix":""},{"dropping-particle":"","family":"Marlier","given":"Eric","non-dropping-particle":"","parse-names":false,"suffix":""}],"collection-title":"Collection: Statistical working papers","editor":[{"dropping-particle":"","family":"Eurostat","given":"","non-dropping-particle":"","parse-names":false,"suffix":""}],"id":"ITEM-1","issued":{"date-parts":[["2013"]]},"number":"Theme 3: Population and social conditions","number-of-pages":"208","title":"The use of registers in the context of EU–SILC: challenges and opportunities","type":"report"},"uris":["http://www.mendeley.com/documents/?uuid=56d95684-079e-4403-b598-97db6e0d3259"]}],"mendeley":{"formattedCitation":"&lt;sup&gt;1&lt;/sup&gt;","plainTextFormattedCitation":"1","previouslyFormattedCitation":"&lt;sup&gt;1&lt;/sup&gt;"},"properties":{"noteIndex":0},"schema":"https://github.com/citation-style-language/schema/raw/master/csl-citation.json"}</w:instrText>
      </w:r>
      <w:r w:rsidR="00EE1CD3" w:rsidRPr="00E25D8D">
        <w:rPr>
          <w:rFonts w:ascii="Times New Roman" w:hAnsi="Times New Roman" w:cs="Times New Roman"/>
          <w:sz w:val="20"/>
          <w:szCs w:val="20"/>
        </w:rPr>
        <w:fldChar w:fldCharType="separate"/>
      </w:r>
      <w:r w:rsidR="0001794E" w:rsidRPr="0001794E">
        <w:rPr>
          <w:rFonts w:ascii="Times New Roman" w:hAnsi="Times New Roman" w:cs="Times New Roman"/>
          <w:noProof/>
          <w:sz w:val="20"/>
          <w:szCs w:val="20"/>
          <w:vertAlign w:val="superscript"/>
        </w:rPr>
        <w:t>1</w:t>
      </w:r>
      <w:r w:rsidR="00EE1CD3" w:rsidRPr="00E25D8D">
        <w:rPr>
          <w:rFonts w:ascii="Times New Roman" w:hAnsi="Times New Roman" w:cs="Times New Roman"/>
          <w:sz w:val="20"/>
          <w:szCs w:val="20"/>
        </w:rPr>
        <w:fldChar w:fldCharType="end"/>
      </w:r>
      <w:r w:rsidR="00EE1CD3" w:rsidRPr="00E25D8D">
        <w:rPr>
          <w:rFonts w:ascii="Times New Roman" w:hAnsi="Times New Roman" w:cs="Times New Roman"/>
          <w:sz w:val="20"/>
          <w:szCs w:val="20"/>
        </w:rPr>
        <w:t xml:space="preserve">. We therefore considered that estimates from both type of data could not be compared, as they would lead to possible biases in the results. </w:t>
      </w:r>
    </w:p>
    <w:p w14:paraId="143A554C" w14:textId="77777777" w:rsidR="00EE1CD3" w:rsidRDefault="00EE1CD3" w:rsidP="00E25D8D">
      <w:pPr>
        <w:spacing w:before="240" w:line="240" w:lineRule="auto"/>
        <w:jc w:val="both"/>
        <w:rPr>
          <w:rFonts w:ascii="Times New Roman" w:hAnsi="Times New Roman" w:cs="Times New Roman"/>
          <w:sz w:val="20"/>
          <w:szCs w:val="20"/>
        </w:rPr>
      </w:pPr>
      <w:r w:rsidRPr="00E25D8D">
        <w:rPr>
          <w:rFonts w:ascii="Times New Roman" w:hAnsi="Times New Roman" w:cs="Times New Roman"/>
          <w:sz w:val="20"/>
          <w:szCs w:val="20"/>
        </w:rPr>
        <w:t>There were fewer country-differences in the proportion of attrition (with Ireland and Norway being notable exceptions). Instead, rates increased sharply over time, from mainly under 5% at the first follow-up to generally above 20% at wave 4 (Romania being an exception here with just 5%). Given the above described patterns, we removed the countries with register data from our analysis as well as those which reported high rates of attrition and missing data</w:t>
      </w:r>
      <w:r w:rsidRPr="00704860">
        <w:rPr>
          <w:rStyle w:val="Appelnotedebasdep"/>
        </w:rPr>
        <w:footnoteReference w:id="1"/>
      </w:r>
      <w:r w:rsidRPr="00E25D8D">
        <w:rPr>
          <w:rFonts w:ascii="Times New Roman" w:hAnsi="Times New Roman" w:cs="Times New Roman"/>
          <w:sz w:val="20"/>
          <w:szCs w:val="20"/>
        </w:rPr>
        <w:t xml:space="preserve"> (in bold) in the health question. Countries for which it was not possible to identify rotational groups with at least two waves in the data files were also removed (e.g., France)</w:t>
      </w:r>
      <w:r w:rsidR="00CC7E8C">
        <w:rPr>
          <w:rFonts w:ascii="Times New Roman" w:hAnsi="Times New Roman" w:cs="Times New Roman"/>
          <w:sz w:val="20"/>
          <w:szCs w:val="20"/>
        </w:rPr>
        <w:t xml:space="preserve"> because is</w:t>
      </w:r>
      <w:r w:rsidRPr="00E25D8D">
        <w:rPr>
          <w:rFonts w:ascii="Times New Roman" w:hAnsi="Times New Roman" w:cs="Times New Roman"/>
          <w:sz w:val="20"/>
          <w:szCs w:val="20"/>
        </w:rPr>
        <w:t xml:space="preserve"> required to observe at least one transition between one wave and another. This left us with 19 countries with data from 2004-07 to 2011-14.  </w:t>
      </w:r>
    </w:p>
    <w:p w14:paraId="1CE71383" w14:textId="77777777" w:rsidR="00CC7E8C" w:rsidRPr="00E25D8D" w:rsidRDefault="00CC7E8C" w:rsidP="00CC7E8C">
      <w:pPr>
        <w:spacing w:before="240" w:line="240" w:lineRule="auto"/>
        <w:jc w:val="both"/>
        <w:rPr>
          <w:rFonts w:ascii="Times New Roman" w:hAnsi="Times New Roman" w:cs="Times New Roman"/>
          <w:sz w:val="20"/>
          <w:szCs w:val="20"/>
        </w:rPr>
      </w:pPr>
      <w:r>
        <w:rPr>
          <w:rFonts w:ascii="Times New Roman" w:hAnsi="Times New Roman" w:cs="Times New Roman"/>
          <w:sz w:val="20"/>
          <w:szCs w:val="16"/>
        </w:rPr>
        <w:t>In addition, w</w:t>
      </w:r>
      <w:r w:rsidRPr="00CC7E8C">
        <w:rPr>
          <w:rFonts w:ascii="Times New Roman" w:hAnsi="Times New Roman" w:cs="Times New Roman"/>
          <w:sz w:val="20"/>
          <w:szCs w:val="16"/>
        </w:rPr>
        <w:t xml:space="preserve">e do not discuss the use of proxies for the personal interviews but acknowledge that there is potential bias. For instance, proxies are more likely to be employed when a sampled respondent is in very bad health or too old to answer the question </w:t>
      </w:r>
      <w:r w:rsidRPr="00CC7E8C">
        <w:rPr>
          <w:rFonts w:ascii="Times New Roman" w:hAnsi="Times New Roman" w:cs="Times New Roman"/>
          <w:sz w:val="20"/>
          <w:szCs w:val="16"/>
        </w:rPr>
        <w:fldChar w:fldCharType="begin" w:fldLock="1"/>
      </w:r>
      <w:r w:rsidR="00446BC0">
        <w:rPr>
          <w:rFonts w:ascii="Times New Roman" w:hAnsi="Times New Roman" w:cs="Times New Roman"/>
          <w:sz w:val="20"/>
          <w:szCs w:val="16"/>
        </w:rPr>
        <w:instrText>ADDIN CSL_CITATION {"citationItems":[{"id":"ITEM-1","itemData":{"DOI":"10.1177/0958928710385734","ISSN":"09589287","abstract":"The Statistics on Income and Living Conditions (EU-SILC) provide an up-to-date data source for the comparative analysis of income, material deprivation and poverty. At the European Union (EU) level, these data have become a standard source for social reporting. Yet the specific approaches to data collection in EU-SILC vary widely from one country to the next. One of the major differences is that some countries rely entirely on household surveys, while others also use administrative or ‘register’ data for a wide range of variables. This article addresses the question of how the relationship among employment, earnings and poverty changes when different approaches to data collection are used. The article shows the impact on substantial results: here, on the percentages of working and non-working poor. Since crucial questions of EU social policy rest on these data, it is an important finding that some results are most likely driven by different approaches to data collection.","author":[{"dropping-particle":"","family":"Lohmann","given":"Henning","non-dropping-particle":"","parse-names":false,"suffix":""}],"container-title":"Journal of European Social Policy","id":"ITEM-1","issue":"1","issued":{"date-parts":[["2011"]]},"page":"37-54","title":"Comparability of EU-SILC survey and register data: The relationship among employment, earnings and poverty","type":"article-journal","volume":"21"},"uris":["http://www.mendeley.com/documents/?uuid=16a267b9-7fc2-4144-be96-908319ec9404"]}],"mendeley":{"formattedCitation":"&lt;sup&gt;2&lt;/sup&gt;","plainTextFormattedCitation":"2","previouslyFormattedCitation":"(60)"},"properties":{"noteIndex":0},"schema":"https://github.com/citation-style-language/schema/raw/master/csl-citation.json"}</w:instrText>
      </w:r>
      <w:r w:rsidRPr="00CC7E8C">
        <w:rPr>
          <w:rFonts w:ascii="Times New Roman" w:hAnsi="Times New Roman" w:cs="Times New Roman"/>
          <w:sz w:val="20"/>
          <w:szCs w:val="16"/>
        </w:rPr>
        <w:fldChar w:fldCharType="separate"/>
      </w:r>
      <w:r w:rsidR="00446BC0" w:rsidRPr="00446BC0">
        <w:rPr>
          <w:rFonts w:ascii="Times New Roman" w:hAnsi="Times New Roman" w:cs="Times New Roman"/>
          <w:noProof/>
          <w:sz w:val="20"/>
          <w:szCs w:val="16"/>
          <w:vertAlign w:val="superscript"/>
        </w:rPr>
        <w:t>2</w:t>
      </w:r>
      <w:r w:rsidRPr="00CC7E8C">
        <w:rPr>
          <w:rFonts w:ascii="Times New Roman" w:hAnsi="Times New Roman" w:cs="Times New Roman"/>
          <w:sz w:val="20"/>
          <w:szCs w:val="16"/>
        </w:rPr>
        <w:fldChar w:fldCharType="end"/>
      </w:r>
      <w:r>
        <w:rPr>
          <w:rFonts w:ascii="Times New Roman" w:hAnsi="Times New Roman" w:cs="Times New Roman"/>
          <w:sz w:val="16"/>
          <w:szCs w:val="16"/>
        </w:rPr>
        <w:t>.</w:t>
      </w:r>
    </w:p>
    <w:p w14:paraId="67E44654" w14:textId="77777777" w:rsidR="00EE1CD3" w:rsidRDefault="00EE1CD3" w:rsidP="00E25D8D">
      <w:pPr>
        <w:spacing w:before="240" w:line="240" w:lineRule="auto"/>
        <w:ind w:right="-1"/>
        <w:jc w:val="both"/>
        <w:rPr>
          <w:rFonts w:ascii="Times New Roman" w:hAnsi="Times New Roman" w:cs="Times New Roman"/>
          <w:sz w:val="20"/>
          <w:szCs w:val="20"/>
        </w:rPr>
      </w:pPr>
      <w:r w:rsidRPr="00E25D8D">
        <w:rPr>
          <w:rFonts w:ascii="Times New Roman" w:hAnsi="Times New Roman" w:cs="Times New Roman"/>
          <w:sz w:val="20"/>
          <w:szCs w:val="20"/>
        </w:rPr>
        <w:t xml:space="preserve">The advantage of having such a large pooled sample of dataset is that it increases the accuracy of the final results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{"citationItems":[{"id":"ITEM-1","itemData":{"DOI":"10.1136/jech.2010.111492","ISBN":"1470-2738 (Electronic)\\r0143-005X (Linking)","ISSN":"0143-005X","PMID":"21106546","abstract":"Background Discussions on raising pension eligibility age focus more on improvement in life expectancy (LE) and health expectancy measures than on socioeconomic differences in these measures. Therefore, this study assesses the level of socioeconomic differences in these two measures in Western-Europe. Methods Data from seven annual waves (1995-2001) of the European Community Household Panel were used. Health and socioeconomic information was collected using standardised questionnaires. Health was measured in terms of disability in daily activities. Socioeconomic status was determined as education level at baseline. Multi-state Markov modelling was applied to obtain age-specific transition rates between health states for every country, educational level and gender. The multi-state life table method was used to estimate LE and disability free life expectancy (DFLE) according to country, educational level and gender. Results When comparing high and low educational levels, differences in partial DFLE between the ages 50 and 65 years were 2.1 years for men and 1.9 years for women. At age 65 years, for LE the difference between high and low educated groups was 3 years for men and 1.9 years for women, and for DFLE the difference between high and low educated groups was 4.6 years for men and 4.4 years for women. Similar patterns were observed in all countries, although inequalities tended to be greater in the southern countries. Conclusions Educational inequalities, favouring the higher educated, exist on both sides of the retirement eligibility age. Higher educated persons live longer in good health before retirement and can expect to live longer afterwards","author":[{"dropping-particle":"","family":"Majer","given":"I. M.","non-dropping-particle":"","parse-names":false,"suffix":""},{"dropping-particle":"","family":"Nusselder","given":"W. J.","non-dropping-particle":"","parse-names":false,"suffix":""},{"dropping-particle":"","family":"Mackenbach","given":"J. P.","non-dropping-particle":"","parse-names":false,"suffix":""},{"dropping-particle":"","family":"Kunst","given":"A. E.","non-dropping-particle":"","parse-names":false,"suffix":""}],"container-title":"Journal of Epidemiology &amp; Community Health","id":"ITEM-1","issue":"11","issued":{"date-parts":[["2011","11","1"]]},"page":"972-979","title":"Socioeconomic inequalities in life and health expectancies around official retirement age in 10 Western-European countries","type":"article-journal","volume":"65"},"uris":["http://www.mendeley.com/documents/?uuid=68634e8e-b34c-441f-a538-becc25622c30"]}],"mendeley":{"formattedCitation":"&lt;sup&gt;3&lt;/sup&gt;","plainTextFormattedCitation":"3","previouslyFormattedCitation":"&lt;sup&gt;2&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3</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By pooling the data, we also deal with two problems that remain in the selected countries: 1) We were able to recover individuals that were dropped for one or two waves; 2) The small sample size that most countries had (except Spain, Italy and Poland) became less of a problem, although this became somewhat of an issue again when the data was disaggregated by the covariables gender, cohort, education,</w:t>
      </w:r>
      <w:r w:rsidRPr="00E25D8D">
        <w:rPr>
          <w:rFonts w:ascii="Times New Roman" w:hAnsi="Times New Roman" w:cs="Times New Roman"/>
          <w:color w:val="FF0000"/>
          <w:sz w:val="20"/>
          <w:szCs w:val="20"/>
        </w:rPr>
        <w:t xml:space="preserve"> </w:t>
      </w:r>
      <w:r w:rsidRPr="00E25D8D">
        <w:rPr>
          <w:rFonts w:ascii="Times New Roman" w:hAnsi="Times New Roman" w:cs="Times New Roman"/>
          <w:sz w:val="20"/>
          <w:szCs w:val="20"/>
        </w:rPr>
        <w:t>health status (in particular death) and living arrangements.</w:t>
      </w:r>
    </w:p>
    <w:p w14:paraId="3B6AF821" w14:textId="77777777" w:rsidR="005512E0" w:rsidRDefault="005512E0">
      <w:pPr>
        <w:rPr>
          <w:rFonts w:ascii="Times New Roman" w:eastAsia="Times New Roman" w:hAnsi="Times New Roman" w:cs="Times New Roman"/>
          <w:b/>
          <w:sz w:val="20"/>
          <w:szCs w:val="20"/>
          <w:lang w:val="en" w:eastAsia="es-ES"/>
        </w:rPr>
      </w:pPr>
    </w:p>
    <w:p w14:paraId="11BDEE3F" w14:textId="77777777" w:rsidR="005512E0" w:rsidRDefault="005512E0" w:rsidP="005512E0">
      <w:pPr>
        <w:rPr>
          <w:rFonts w:ascii="Times New Roman" w:eastAsia="Times New Roman" w:hAnsi="Times New Roman" w:cs="Times New Roman"/>
          <w:b/>
          <w:sz w:val="20"/>
          <w:szCs w:val="20"/>
          <w:lang w:val="en" w:eastAsia="es-ES"/>
        </w:rPr>
      </w:pPr>
      <w:r>
        <w:rPr>
          <w:noProof/>
        </w:rPr>
        <w:lastRenderedPageBreak/>
        <w:drawing>
          <wp:inline distT="0" distB="0" distL="0" distR="0" wp14:anchorId="158DE4DF" wp14:editId="7F920298">
            <wp:extent cx="6108690" cy="5006051"/>
            <wp:effectExtent l="0" t="0" r="698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819" cy="5017630"/>
                    </a:xfrm>
                    <a:prstGeom prst="rect">
                      <a:avLst/>
                    </a:prstGeom>
                  </pic:spPr>
                </pic:pic>
              </a:graphicData>
            </a:graphic>
          </wp:inline>
        </w:drawing>
      </w:r>
    </w:p>
    <w:p w14:paraId="3E699BB6" w14:textId="77777777" w:rsidR="005512E0" w:rsidRDefault="005512E0" w:rsidP="005512E0">
      <w:pPr>
        <w:rPr>
          <w:rFonts w:ascii="Times New Roman" w:eastAsia="Times New Roman" w:hAnsi="Times New Roman" w:cs="Times New Roman"/>
          <w:b/>
          <w:sz w:val="20"/>
          <w:szCs w:val="20"/>
          <w:lang w:val="en" w:eastAsia="es-ES"/>
        </w:rPr>
      </w:pPr>
    </w:p>
    <w:p w14:paraId="74877120" w14:textId="77777777" w:rsidR="00F44E72" w:rsidRPr="00871097" w:rsidRDefault="001B0BE6" w:rsidP="005512E0">
      <w:pPr>
        <w:rPr>
          <w:rFonts w:ascii="Times New Roman" w:eastAsia="Times New Roman" w:hAnsi="Times New Roman" w:cs="Times New Roman"/>
          <w:b/>
          <w:sz w:val="20"/>
          <w:szCs w:val="20"/>
          <w:lang w:val="en" w:eastAsia="es-ES"/>
        </w:rPr>
      </w:pPr>
      <w:r>
        <w:rPr>
          <w:rFonts w:ascii="Times New Roman" w:eastAsia="Times New Roman" w:hAnsi="Times New Roman" w:cs="Times New Roman"/>
          <w:b/>
          <w:sz w:val="20"/>
          <w:szCs w:val="20"/>
          <w:lang w:val="en" w:eastAsia="es-ES"/>
        </w:rPr>
        <w:t>eData2.-Data l</w:t>
      </w:r>
      <w:r w:rsidR="00F44E72" w:rsidRPr="00871097">
        <w:rPr>
          <w:rFonts w:ascii="Times New Roman" w:eastAsia="Times New Roman" w:hAnsi="Times New Roman" w:cs="Times New Roman"/>
          <w:b/>
          <w:sz w:val="20"/>
          <w:szCs w:val="20"/>
          <w:lang w:val="en" w:eastAsia="es-ES"/>
        </w:rPr>
        <w:t xml:space="preserve">imitations </w:t>
      </w:r>
    </w:p>
    <w:p w14:paraId="0B0BDAEE" w14:textId="77777777" w:rsidR="00F44E72" w:rsidRPr="00871097" w:rsidRDefault="00F44E72" w:rsidP="00871097">
      <w:pPr>
        <w:spacing w:before="240" w:line="240" w:lineRule="auto"/>
        <w:ind w:right="-1"/>
        <w:jc w:val="both"/>
        <w:rPr>
          <w:rFonts w:ascii="Times New Roman" w:eastAsia="Times New Roman" w:hAnsi="Times New Roman" w:cs="Times New Roman"/>
          <w:sz w:val="20"/>
          <w:szCs w:val="20"/>
          <w:lang w:val="en" w:eastAsia="es-ES"/>
        </w:rPr>
      </w:pPr>
      <w:r w:rsidRPr="00871097">
        <w:rPr>
          <w:rFonts w:ascii="Times New Roman" w:eastAsia="Times New Roman" w:hAnsi="Times New Roman" w:cs="Times New Roman"/>
          <w:sz w:val="20"/>
          <w:szCs w:val="20"/>
          <w:lang w:val="en" w:eastAsia="es-ES"/>
        </w:rPr>
        <w:t>Our study does have several limitations we ought to mention. We defined health status according to the G</w:t>
      </w:r>
      <w:r w:rsidR="00BD4433">
        <w:rPr>
          <w:rFonts w:ascii="Times New Roman" w:eastAsia="Times New Roman" w:hAnsi="Times New Roman" w:cs="Times New Roman"/>
          <w:sz w:val="20"/>
          <w:szCs w:val="20"/>
          <w:lang w:val="en" w:eastAsia="es-ES"/>
        </w:rPr>
        <w:t>lobal</w:t>
      </w:r>
      <w:r w:rsidRPr="00871097">
        <w:rPr>
          <w:rFonts w:ascii="Times New Roman" w:eastAsia="Times New Roman" w:hAnsi="Times New Roman" w:cs="Times New Roman"/>
          <w:sz w:val="20"/>
          <w:szCs w:val="20"/>
          <w:lang w:val="en" w:eastAsia="es-ES"/>
        </w:rPr>
        <w:t xml:space="preserve"> Activity Limitation Index (GALI indicator) which is used to measure functional limitation. Unfortunately, this measure is not collected in most countries with register data, meaning that Nordic countries, known for their distinct pattern of co-residence, could not be </w:t>
      </w:r>
      <w:proofErr w:type="spellStart"/>
      <w:r w:rsidRPr="00871097">
        <w:rPr>
          <w:rFonts w:ascii="Times New Roman" w:eastAsia="Times New Roman" w:hAnsi="Times New Roman" w:cs="Times New Roman"/>
          <w:sz w:val="20"/>
          <w:szCs w:val="20"/>
          <w:lang w:val="en" w:eastAsia="es-ES"/>
        </w:rPr>
        <w:t>analysed</w:t>
      </w:r>
      <w:proofErr w:type="spellEnd"/>
      <w:r w:rsidRPr="00871097">
        <w:rPr>
          <w:rFonts w:ascii="Times New Roman" w:eastAsia="Times New Roman" w:hAnsi="Times New Roman" w:cs="Times New Roman"/>
          <w:sz w:val="20"/>
          <w:szCs w:val="20"/>
          <w:lang w:val="en" w:eastAsia="es-ES"/>
        </w:rPr>
        <w:t xml:space="preserve">. </w:t>
      </w:r>
    </w:p>
    <w:p w14:paraId="60DA8B24" w14:textId="77777777" w:rsidR="00F44E72" w:rsidRPr="00871097" w:rsidRDefault="00F44E72" w:rsidP="00871097">
      <w:pPr>
        <w:spacing w:before="240" w:line="240" w:lineRule="auto"/>
        <w:ind w:right="-1"/>
        <w:jc w:val="both"/>
        <w:rPr>
          <w:rFonts w:ascii="Times New Roman" w:eastAsia="Times New Roman" w:hAnsi="Times New Roman" w:cs="Times New Roman"/>
          <w:sz w:val="20"/>
          <w:szCs w:val="20"/>
          <w:lang w:val="en" w:eastAsia="es-ES"/>
        </w:rPr>
      </w:pPr>
      <w:r w:rsidRPr="00871097">
        <w:rPr>
          <w:rFonts w:ascii="Times New Roman" w:eastAsia="Times New Roman" w:hAnsi="Times New Roman" w:cs="Times New Roman"/>
          <w:sz w:val="20"/>
          <w:szCs w:val="20"/>
          <w:lang w:val="en" w:eastAsia="es-ES"/>
        </w:rPr>
        <w:t xml:space="preserve">Another issue concerns the wording of the GALI question and its response categories that changed over time in several countries </w:t>
      </w:r>
      <w:r w:rsidRPr="00871097">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{"citationItems":[{"id":"ITEM-1","itemData":{"author":[{"dropping-particle":"","family":"EUROSTAT","given":"","non-dropping-particle":"","parse-names":false,"suffix":""}],"id":"ITEM-1","issued":{"date-parts":[["2016"]]},"title":"Overview of the implementation of the GALI question in EU-SILC","type":"report"},"uris":["http://www.mendeley.com/documents/?uuid=1fd8e4e3-0277-4a1c-bafc-5dd9c5f40308"]}],"mendeley":{"formattedCitation":"&lt;sup&gt;4&lt;/sup&gt;","plainTextFormattedCitation":"4","previouslyFormattedCitation":"&lt;sup&gt;3&lt;/sup&gt;"},"properties":{"noteIndex":0},"schema":"https://github.com/citation-style-language/schema/raw/master/csl-citation.json"}</w:instrText>
      </w:r>
      <w:r w:rsidRPr="00871097">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4</w:t>
      </w:r>
      <w:r w:rsidRPr="00871097">
        <w:rPr>
          <w:rFonts w:ascii="Times New Roman" w:hAnsi="Times New Roman" w:cs="Times New Roman"/>
          <w:sz w:val="20"/>
          <w:szCs w:val="20"/>
        </w:rPr>
        <w:fldChar w:fldCharType="end"/>
      </w:r>
      <w:r w:rsidRPr="00871097">
        <w:rPr>
          <w:rFonts w:ascii="Times New Roman" w:hAnsi="Times New Roman" w:cs="Times New Roman"/>
          <w:sz w:val="20"/>
          <w:szCs w:val="20"/>
        </w:rPr>
        <w:t xml:space="preserve">. </w:t>
      </w:r>
      <w:r w:rsidRPr="00871097">
        <w:rPr>
          <w:rFonts w:ascii="Times New Roman" w:eastAsia="Times New Roman" w:hAnsi="Times New Roman" w:cs="Times New Roman"/>
          <w:sz w:val="20"/>
          <w:szCs w:val="20"/>
          <w:lang w:val="en" w:eastAsia="es-ES"/>
        </w:rPr>
        <w:t xml:space="preserve">This makes this indicator not always comparable </w:t>
      </w:r>
      <w:r w:rsidRPr="00871097">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{"citationItems":[{"id":"ITEM-1","itemData":{"DOI":"10.1177/0898264316656504","ISBN":"0898264316","ISSN":"0898-2643","PMID":"27590804","abstract":"Objective: The Global Activity Limitation Indicator (GALI), a single question measuring disability, had been introduced in various European surveys since 2004. The complexity of its wording has been questioned. Our study compares alternative variants aiming to simplify the wording. Method: We used the Health-Related Opinion Survey run in 2014 in France (N = 3,009). Its split sample design allows testing four variants of the questions. We analyzed the prevalence of activity limitation (AL) resulting from the four different constructs of the GALI using multinomial logistic regressions, adjusted for background variables and functional limitations (FLs). Results: The alternative GALI variants result in significantly different prevalences compared with the original question, in particular for people with FL. The current variant is more inclusive than the routed variants. Discussion: Our study suggests limited benefits of changing the GALI construct which do not outweigh the costs of breaking the established chronological series of the current variant.","author":[{"dropping-particle":"","family":"Cambois","given":"Emmanuelle","non-dropping-particle":"","parse-names":false,"suffix":""},{"dropping-particle":"","family":"Grobon","given":"Sébastien","non-dropping-particle":"","parse-names":false,"suffix":""},{"dropping-particle":"","family":"Oyen","given":"Herman","non-dropping-particle":"Van","parse-names":false,"suffix":""},{"dropping-particle":"","family":"Robine","given":"Jean-Marie","non-dropping-particle":"","parse-names":false,"suffix":""}],"container-title":"Journal of Aging and Health","id":"ITEM-1","issue":"7","issued":{"date-parts":[["2016","10"]]},"page":"1315-1338","title":"Impact of Question Wording on the Measurement of Activity Limitation","type":"article-journal","volume":"28"},"uris":["http://www.mendeley.com/documents/?uuid=77a51f64-0b60-4416-a6fe-fc8618f55441"]}],"mendeley":{"formattedCitation":"&lt;sup&gt;5&lt;/sup&gt;","plainTextFormattedCitation":"5","previouslyFormattedCitation":"&lt;sup&gt;4&lt;/sup&gt;"},"properties":{"noteIndex":0},"schema":"https://github.com/citation-style-language/schema/raw/master/csl-citation.json"}</w:instrText>
      </w:r>
      <w:r w:rsidRPr="00871097">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5</w:t>
      </w:r>
      <w:r w:rsidRPr="00871097">
        <w:rPr>
          <w:rFonts w:ascii="Times New Roman" w:hAnsi="Times New Roman" w:cs="Times New Roman"/>
          <w:sz w:val="20"/>
          <w:szCs w:val="20"/>
        </w:rPr>
        <w:fldChar w:fldCharType="end"/>
      </w:r>
      <w:r w:rsidRPr="00871097">
        <w:rPr>
          <w:rFonts w:ascii="Times New Roman" w:hAnsi="Times New Roman" w:cs="Times New Roman"/>
          <w:sz w:val="20"/>
          <w:szCs w:val="20"/>
        </w:rPr>
        <w:t xml:space="preserve">, </w:t>
      </w:r>
      <w:r w:rsidRPr="00871097">
        <w:rPr>
          <w:rFonts w:ascii="Times New Roman" w:eastAsia="Times New Roman" w:hAnsi="Times New Roman" w:cs="Times New Roman"/>
          <w:sz w:val="20"/>
          <w:szCs w:val="20"/>
          <w:lang w:val="en" w:eastAsia="es-ES"/>
        </w:rPr>
        <w:t xml:space="preserve">despite the fact that there are studies which support the validity and reliability of its use </w:t>
      </w:r>
      <w:r w:rsidRPr="00871097">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{"citationItems":[{"id":"ITEM-1","itemData":{"DOI":"10.1186/s13690-018-0270-8","ISSN":"20493258","abstract":"© 2018 The Author(s). Background: GALI or Global Activity Limitation Indicator is a global survey instrument measuring participation restriction. GALI is the measure underlying the European indicator Healthy Life Years (HLY). Gali has a substantial policy use within the EU and its Member States. The objective of current paper is to bring together what is known from published manuscripts on the validity and the reliability of GALI. Methods: Following the PRISMA guidelines, two search strategies (PUBMED, Google Scholar) were combined to identify manuscripts published in English with publication date 2000 or beyond. Articles were classified as reliability studies, concurrent or predictive validity studies, in national or international populations. Results: Four cross-sectional studies (of which 2 international) studied how GALI relates to other health measures (concurrent validity). A dose-response effect by GALI severity level on the association with the other health status measures was observed in the national studies. The 2 international studies (SHARE, EHIS) concluded that the odds of reporting participation restriction was higher in subjects with self-reported or observed functional limitations. In SHARE, the size of the Odds Ratio's (ORs) in the different countries was homogeneous, while in EHIS the size of the ORs varied more strongly. For the predictive validity, subjects were followed over time (4 studies of which one international). GALI proved, both in national and international data, to be a consistent predictor of future health outcomes both in terms of mortality and health care expenditure. As predictors of mortality, the two distinct health concepts, self-rated health and GALI, acted independently and complementary of each other. The one reliability study identified reported a sufficient reliability of GALI. Conclusion: GALI as inclusive one question instrument fits all conceptual char acteristics specified for a global measure on participation restriction. In none of the studies, included in the review, there was evidence of a failing validity. The review shows that GALI has a good and sufficient concurrent and predictive validity, and reliability.","author":[{"dropping-particle":"","family":"Oyen","given":"Herman","non-dropping-particle":"Van","parse-names":false,"suffix":""},{"dropping-particle":"","family":"Bogaert","given":"Petronille","non-dropping-particle":"","parse-names":false,"suffix":""},{"dropping-particle":"","family":"Yokota","given":"Renata T.C.","non-dropping-particle":"","parse-names":false,"suffix":""},{"dropping-particle":"","family":"Berger","given":"Nicolas","non-dropping-particle":"","parse-names":false,"suffix":""}],"container-title":"Archives of Public Health","id":"ITEM-1","issue":"25","issued":{"date-parts":[["2018"]]},"page":"1-11","publisher":"Archives of Public Health","title":"Measuring disability: A systematic review of the validity and reliability of the Global Activity Limitations Indicator (GALI)","type":"article-journal","volume":"76"},"uris":["http://www.mendeley.com/documents/?uuid=ffa85774-76ba-4df7-8d1a-9dab0555eb88"]},{"id":"ITEM-2","itemData":{"DOI":"10.1007/s00038-006-0035-y","ISBN":"0303-8408","ISSN":"0303-8408","PMID":"17191540","abstract":"OBJECTIVE: To evaluate a single item instrument, the Global Activity Limitation Indicator (GALI), to measure long-standing health related activity limitations, against several health indicators: a composite morbidity indicator, instruments measuring mental health (SCL-90R, GHQ-12), physical co-morbidity and physical limitations (ADLs, SF-36). METHODS: Cross-sectional data (n = 9168) of the 2001-National Health Interview Survey in Belgium was used to compare the GALI with other health indicators across gender, age, educational attainment and language. RESULTS: Responses to the GALI were similar to responses to other indicators of physical limitations (Limitations in Activities of Daily Living (by severity or by number of limitations), the SF-36 physical domain), to an indicator of chronic physical comorbidity and to indicators of mental health. The probability of reporting absence of long-standing activity limitation with the GALI was high in subjects without physical limitations or physical or mental conditions. This probability decreased as the severity or number of limitations, the number of physical or mental conditions increased. CONCLUSIONS: The GALI performs appropriately against other health indicators and appears to reflect long-standing activity limitation associated with both mental and physical conditions.","author":[{"dropping-particle":"","family":"Oyen","given":"Herman","non-dropping-particle":"van","parse-names":false,"suffix":""},{"dropping-particle":"","family":"Heyden","given":"Johan","non-dropping-particle":"Van der","parse-names":false,"suffix":""},{"dropping-particle":"","family":"Perenboom","given":"Rom","non-dropping-particle":"","parse-names":false,"suffix":""},{"dropping-particle":"","family":"Jagger","given":"Carol","non-dropping-particle":"","parse-names":false,"suffix":""}],"container-title":"Sozial- und Präventivmedizin","id":"ITEM-2","issue":"3","issued":{"date-parts":[["2006","6"]]},"page":"153-161","title":"Monitoring population disability: evaluation of a new Global Activity Limitation Indicator (GALI)","type":"article-journal","volume":"51"},"uris":["http://www.mendeley.com/documents/?uuid=4fc45994-b298-4d4a-87db-80548ca9a4e2"]},{"id":"ITEM-3","itemData":{"DOI":"10.1186/s13690-015-0073-0","ISSN":"20493258","PMID":"25964852","abstract":"BACKGROUND The purpose of this study is to compare the ability of the Global Activity Limitation Indicator (GALI) and self-rated health (SRH) to predict all-cause mortality in the general adult population. METHODS We linked the 2001 Belgian Health Interview Survey with mortality and migration registers 2001-2010. The baseline sample included 8,583 individuals aged 15 years and older. Poisson regression models were used to estimate the effect of the GALI and SRH on mortality rate during follow-up. We investigated the impact of gender, age, education and follow-up period on the association between the GALI/SRH and mortality. RESULTS The GALI and SRH were strong and complementary predictors of mortality in the Belgian adult population. Although the two global instruments shared some traits, they predicted mortality concurrently, with some indication of a somewhat stronger effect for SRH. We found neither significant differences between men and women, nor between education groups. The predictive effect of the GALI and SRH slightly decreased over time and the predictive effect of SRH slightly decreased with age. CONCLUSIONS Our findings suggest that the GALI and SRH are useful and complementary measures for assessing the health and functional status of adults in population surveys.","author":[{"dropping-particle":"","family":"Berger","given":"Nicolas","non-dropping-particle":"","parse-names":false,"suffix":""},{"dropping-particle":"","family":"Heyden","given":"Johan","non-dropping-particle":"Van der","parse-names":false,"suffix":""},{"dropping-particle":"","family":"Oyen","given":"Herman","non-dropping-particle":"Van","parse-names":false,"suffix":""}],"container-title":"Archives of Public Health","id":"ITEM-3","issue":"1","issued":{"date-parts":[["2015"]]},"page":"1-7","title":"The global activity limitation indicator and self-rated health: Two complementary predictors of mortality","type":"article-journal","volume":"73"},"uris":["http://www.mendeley.com/documents/?uuid=299a5e2b-1007-4848-af5d-6d68a5447e21"]}],"mendeley":{"formattedCitation":"&lt;sup&gt;6–8&lt;/sup&gt;","plainTextFormattedCitation":"6–8","previouslyFormattedCitation":"&lt;sup&gt;5–7&lt;/sup&gt;"},"properties":{"noteIndex":0},"schema":"https://github.com/citation-style-language/schema/raw/master/csl-citation.json"}</w:instrText>
      </w:r>
      <w:r w:rsidRPr="00871097">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6–8</w:t>
      </w:r>
      <w:r w:rsidRPr="00871097">
        <w:rPr>
          <w:rFonts w:ascii="Times New Roman" w:hAnsi="Times New Roman" w:cs="Times New Roman"/>
          <w:sz w:val="20"/>
          <w:szCs w:val="20"/>
        </w:rPr>
        <w:fldChar w:fldCharType="end"/>
      </w:r>
      <w:r w:rsidRPr="00871097">
        <w:rPr>
          <w:rFonts w:ascii="Times New Roman" w:hAnsi="Times New Roman" w:cs="Times New Roman"/>
          <w:sz w:val="20"/>
          <w:szCs w:val="20"/>
        </w:rPr>
        <w:t xml:space="preserve">. </w:t>
      </w:r>
      <w:r w:rsidRPr="00871097">
        <w:rPr>
          <w:rFonts w:ascii="Times New Roman" w:eastAsia="Times New Roman" w:hAnsi="Times New Roman" w:cs="Times New Roman"/>
          <w:sz w:val="20"/>
          <w:szCs w:val="20"/>
          <w:lang w:val="en" w:eastAsia="es-ES"/>
        </w:rPr>
        <w:t xml:space="preserve">We particularly raise the attention of possible bias in the results for Cyprus, Estonia, Greece, Lithuania, Latvia, Malta Portugal and Slovakia, which changed the wording in the middle of the </w:t>
      </w:r>
      <w:proofErr w:type="spellStart"/>
      <w:r w:rsidRPr="00871097">
        <w:rPr>
          <w:rFonts w:ascii="Times New Roman" w:eastAsia="Times New Roman" w:hAnsi="Times New Roman" w:cs="Times New Roman"/>
          <w:sz w:val="20"/>
          <w:szCs w:val="20"/>
          <w:lang w:val="en" w:eastAsia="es-ES"/>
        </w:rPr>
        <w:t>analysed</w:t>
      </w:r>
      <w:proofErr w:type="spellEnd"/>
      <w:r w:rsidRPr="00871097">
        <w:rPr>
          <w:rFonts w:ascii="Times New Roman" w:eastAsia="Times New Roman" w:hAnsi="Times New Roman" w:cs="Times New Roman"/>
          <w:sz w:val="20"/>
          <w:szCs w:val="20"/>
          <w:lang w:val="en" w:eastAsia="es-ES"/>
        </w:rPr>
        <w:t xml:space="preserve"> time series </w:t>
      </w:r>
      <w:r w:rsidRPr="00871097">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{"citationItems":[{"id":"ITEM-1","itemData":{"author":[{"dropping-particle":"","family":"EUROSTAT","given":"","non-dropping-particle":"","parse-names":false,"suffix":""}],"id":"ITEM-1","issued":{"date-parts":[["2016"]]},"title":"Overview of the implementation of the GALI question in EU-SILC","type":"report"},"uris":["http://www.mendeley.com/documents/?uuid=1fd8e4e3-0277-4a1c-bafc-5dd9c5f40308"]}],"mendeley":{"formattedCitation":"&lt;sup&gt;4&lt;/sup&gt;","plainTextFormattedCitation":"4","previouslyFormattedCitation":"&lt;sup&gt;3&lt;/sup&gt;"},"properties":{"noteIndex":0},"schema":"https://github.com/citation-style-language/schema/raw/master/csl-citation.json"}</w:instrText>
      </w:r>
      <w:r w:rsidRPr="00871097">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4</w:t>
      </w:r>
      <w:r w:rsidRPr="00871097">
        <w:rPr>
          <w:rFonts w:ascii="Times New Roman" w:hAnsi="Times New Roman" w:cs="Times New Roman"/>
          <w:sz w:val="20"/>
          <w:szCs w:val="20"/>
        </w:rPr>
        <w:fldChar w:fldCharType="end"/>
      </w:r>
      <w:r w:rsidRPr="00871097">
        <w:rPr>
          <w:rFonts w:ascii="Times New Roman" w:hAnsi="Times New Roman" w:cs="Times New Roman"/>
          <w:sz w:val="20"/>
          <w:szCs w:val="20"/>
        </w:rPr>
        <w:t xml:space="preserve">. </w:t>
      </w:r>
      <w:r w:rsidRPr="00871097">
        <w:rPr>
          <w:rFonts w:ascii="Times New Roman" w:eastAsia="Times New Roman" w:hAnsi="Times New Roman" w:cs="Times New Roman"/>
          <w:sz w:val="20"/>
          <w:szCs w:val="20"/>
          <w:lang w:val="en" w:eastAsia="es-ES"/>
        </w:rPr>
        <w:t xml:space="preserve">Nevertheless, we consider the method used in our study to be a good approach of how to use random effects on survival probabilities in order to estimate predicted probabilities of health changes at older ages. It allows the inclusion of country-specific patterns of living arrangements as exogenous variables, which modify the mean risk to experience a specific event. In this way, we were able to estimate the size of the country-specific variability for older people to change their health status by taking into account their living arrangement. Applying a multilevel approach also permitted to ascertain whether the association between living arrangements and health transitions was modified by the exogenous variables. </w:t>
      </w:r>
    </w:p>
    <w:p w14:paraId="3B18C423" w14:textId="77777777" w:rsidR="00F44E72" w:rsidRPr="005F13B8" w:rsidRDefault="00F44E72" w:rsidP="00871097">
      <w:pPr>
        <w:spacing w:before="240" w:line="240" w:lineRule="auto"/>
        <w:ind w:right="-1"/>
        <w:jc w:val="both"/>
        <w:rPr>
          <w:rFonts w:ascii="Times New Roman" w:eastAsia="Times New Roman" w:hAnsi="Times New Roman" w:cs="Times New Roman"/>
          <w:sz w:val="24"/>
          <w:szCs w:val="24"/>
          <w:lang w:val="en" w:eastAsia="es-ES"/>
        </w:rPr>
      </w:pPr>
      <w:r w:rsidRPr="00871097">
        <w:rPr>
          <w:rFonts w:ascii="Times New Roman" w:eastAsia="Times New Roman" w:hAnsi="Times New Roman" w:cs="Times New Roman"/>
          <w:sz w:val="20"/>
          <w:szCs w:val="20"/>
          <w:lang w:val="en" w:eastAsia="es-ES"/>
        </w:rPr>
        <w:t xml:space="preserve">Finally, we do not discard that the mortality estimation in this study is underestimated due to the small size of the death count in the survey </w:t>
      </w:r>
      <w:r w:rsidRPr="00871097">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Klotz","given":"Johannes","non-dropping-particle":"","parse-names":false,"suffix":""},{"dropping-particle":"","family":"Göllner","given":"Tobias","non-dropping-particle":"","parse-names":false,"suffix":""}],"id":"ITEM-1","issue":"October","issued":{"date-parts":[["2017"]]},"title":"Estimating Differential Mortality from EU-SILC Longitudinal Data A Feasibility Study","type":"article-journal"},"uris":["http://www.mendeley.com/documents/?uuid=98b48c47-d080-465a-84ff-46428f352949"]}],"mendeley":{"formattedCitation":"&lt;sup&gt;9&lt;/sup&gt;","plainTextFormattedCitation":"9","previouslyFormattedCitation":"&lt;sup&gt;8&lt;/sup&gt;"},"properties":{"noteIndex":0},"schema":"https://github.com/citation-style-language/schema/raw/master/csl-citation.json"}</w:instrText>
      </w:r>
      <w:r w:rsidRPr="00871097">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9</w:t>
      </w:r>
      <w:r w:rsidRPr="00871097">
        <w:rPr>
          <w:rFonts w:ascii="Times New Roman" w:hAnsi="Times New Roman" w:cs="Times New Roman"/>
          <w:sz w:val="20"/>
          <w:szCs w:val="20"/>
        </w:rPr>
        <w:fldChar w:fldCharType="end"/>
      </w:r>
      <w:r w:rsidRPr="00871097">
        <w:rPr>
          <w:rFonts w:ascii="Times New Roman" w:hAnsi="Times New Roman" w:cs="Times New Roman"/>
          <w:sz w:val="20"/>
          <w:szCs w:val="20"/>
        </w:rPr>
        <w:t xml:space="preserve"> </w:t>
      </w:r>
      <w:r w:rsidRPr="00871097">
        <w:rPr>
          <w:rFonts w:ascii="Times New Roman" w:eastAsia="Times New Roman" w:hAnsi="Times New Roman" w:cs="Times New Roman"/>
          <w:sz w:val="20"/>
          <w:szCs w:val="20"/>
          <w:lang w:val="en" w:eastAsia="es-ES"/>
        </w:rPr>
        <w:t xml:space="preserve">for countries like Belgium and Luxembourg as other study reported </w:t>
      </w:r>
      <w:r w:rsidRPr="00871097">
        <w:rPr>
          <w:rFonts w:ascii="Times New Roman" w:eastAsia="Times New Roman" w:hAnsi="Times New Roman" w:cs="Times New Roman"/>
          <w:sz w:val="20"/>
          <w:szCs w:val="20"/>
          <w:lang w:val="en" w:eastAsia="es-ES"/>
        </w:rPr>
        <w:fldChar w:fldCharType="begin" w:fldLock="1"/>
      </w:r>
      <w:r w:rsidR="00446BC0">
        <w:rPr>
          <w:rFonts w:ascii="Times New Roman" w:eastAsia="Times New Roman" w:hAnsi="Times New Roman" w:cs="Times New Roman"/>
          <w:sz w:val="20"/>
          <w:szCs w:val="20"/>
          <w:lang w:val="en" w:eastAsia="es-ES"/>
        </w:rPr>
        <w:instrText>ADDIN CSL_CITATION {"citationItems":[{"id":"ITEM-1","itemData":{"DOI":"10.1007/s00038-006-0035-y","ISBN":"0303-8408","ISSN":"0303-8408","PMID":"17191540","abstract":"OBJECTIVE: To evaluate a single item instrument, the Global Activity Limitation Indicator (GALI), to measure long-standing health related activity limitations, against several health indicators: a composite morbidity indicator, instruments measuring mental health (SCL-90R, GHQ-12), physical co-morbidity and physical limitations (ADLs, SF-36). METHODS: Cross-sectional data (n = 9168) of the 2001-National Health Interview Survey in Belgium was used to compare the GALI with other health indicators across gender, age, educational attainment and language. RESULTS: Responses to the GALI were similar to responses to other indicators of physical limitations (Limitations in Activities of Daily Living (by severity or by number of limitations), the SF-36 physical domain), to an indicator of chronic physical comorbidity and to indicators of mental health. The probability of reporting absence of long-standing activity limitation with the GALI was high in subjects without physical limitations or physical or mental conditions. This probability decreased as the severity or number of limitations, the number of physical or mental conditions increased. CONCLUSIONS: The GALI performs appropriately against other health indicators and appears to reflect long-standing activity limitation associated with both mental and physical conditions.","author":[{"dropping-particle":"","family":"Oyen","given":"Herman","non-dropping-particle":"van","parse-names":false,"suffix":""},{"dropping-particle":"","family":"Heyden","given":"Johan","non-dropping-particle":"Van der","parse-names":false,"suffix":""},{"dropping-particle":"","family":"Perenboom","given":"Rom","non-dropping-particle":"","parse-names":false,"suffix":""},{"dropping-particle":"","family":"Jagger","given":"Carol","non-dropping-particle":"","parse-names":false,"suffix":""}],"container-title":"Sozial- und Präventivmedizin","id":"ITEM-1","issue":"3","issued":{"date-parts":[["2006","6"]]},"page":"153-161","title":"Monitoring population disability: evaluation of a new Global Activity Limitation Indicator (GALI)","type":"article-journal","volume":"51"},"uris":["http://www.mendeley.com/documents/?uuid=4fc45994-b298-4d4a-87db-80548ca9a4e2"]}],"mendeley":{"formattedCitation":"&lt;sup&gt;7&lt;/sup&gt;","plainTextFormattedCitation":"7","previouslyFormattedCitation":"&lt;sup&gt;6&lt;/sup&gt;"},"properties":{"noteIndex":0},"schema":"https://github.com/citation-style-language/schema/raw/master/csl-citation.json"}</w:instrText>
      </w:r>
      <w:r w:rsidRPr="00871097">
        <w:rPr>
          <w:rFonts w:ascii="Times New Roman" w:eastAsia="Times New Roman" w:hAnsi="Times New Roman" w:cs="Times New Roman"/>
          <w:sz w:val="20"/>
          <w:szCs w:val="20"/>
          <w:lang w:val="en" w:eastAsia="es-ES"/>
        </w:rPr>
        <w:fldChar w:fldCharType="separate"/>
      </w:r>
      <w:r w:rsidR="00446BC0" w:rsidRPr="00446BC0">
        <w:rPr>
          <w:rFonts w:ascii="Times New Roman" w:eastAsia="Times New Roman" w:hAnsi="Times New Roman" w:cs="Times New Roman"/>
          <w:noProof/>
          <w:sz w:val="20"/>
          <w:szCs w:val="20"/>
          <w:vertAlign w:val="superscript"/>
          <w:lang w:val="en" w:eastAsia="es-ES"/>
        </w:rPr>
        <w:t>7</w:t>
      </w:r>
      <w:r w:rsidRPr="00871097">
        <w:rPr>
          <w:rFonts w:ascii="Times New Roman" w:eastAsia="Times New Roman" w:hAnsi="Times New Roman" w:cs="Times New Roman"/>
          <w:sz w:val="20"/>
          <w:szCs w:val="20"/>
          <w:lang w:val="en" w:eastAsia="es-ES"/>
        </w:rPr>
        <w:fldChar w:fldCharType="end"/>
      </w:r>
      <w:r w:rsidRPr="00871097">
        <w:rPr>
          <w:rFonts w:ascii="Times New Roman" w:eastAsia="Times New Roman" w:hAnsi="Times New Roman" w:cs="Times New Roman"/>
          <w:sz w:val="20"/>
          <w:szCs w:val="20"/>
          <w:lang w:val="en" w:eastAsia="es-ES"/>
        </w:rPr>
        <w:t>. An additional source of underestimation is the part of the initial survey population who was transferred to a health care institution at a later moment in time. These respondents were subsequently considered as truncated information and were most likely to come from Western and Eastern European and Baltic countries</w:t>
      </w:r>
      <w:r w:rsidRPr="005F13B8">
        <w:rPr>
          <w:rFonts w:ascii="Times New Roman" w:eastAsia="Times New Roman" w:hAnsi="Times New Roman" w:cs="Times New Roman"/>
          <w:sz w:val="24"/>
          <w:szCs w:val="24"/>
          <w:lang w:val="en" w:eastAsia="es-ES"/>
        </w:rPr>
        <w:t>.</w:t>
      </w:r>
    </w:p>
    <w:p w14:paraId="4029474F" w14:textId="77777777" w:rsidR="00F44E72" w:rsidRDefault="00F44E72" w:rsidP="00F44E72"/>
    <w:p w14:paraId="0AA17E50" w14:textId="77777777" w:rsidR="00591E17" w:rsidRPr="00E25D8D" w:rsidRDefault="00591E17" w:rsidP="00E25D8D">
      <w:pPr>
        <w:spacing w:before="240" w:line="240" w:lineRule="auto"/>
        <w:ind w:right="-1"/>
        <w:jc w:val="both"/>
        <w:rPr>
          <w:rFonts w:ascii="Times New Roman" w:hAnsi="Times New Roman" w:cs="Times New Roman"/>
          <w:sz w:val="20"/>
          <w:szCs w:val="20"/>
        </w:rPr>
      </w:pPr>
    </w:p>
    <w:p w14:paraId="70778A04" w14:textId="77777777" w:rsidR="00416D9D" w:rsidRPr="005512E0" w:rsidRDefault="00416D9D" w:rsidP="00E25D8D">
      <w:pPr>
        <w:pStyle w:val="Titre3"/>
        <w:spacing w:before="240" w:after="240"/>
        <w:rPr>
          <w:rFonts w:ascii="Times New Roman" w:hAnsi="Times New Roman" w:cs="Times New Roman"/>
          <w:bCs/>
          <w:sz w:val="20"/>
          <w:szCs w:val="20"/>
        </w:rPr>
      </w:pPr>
      <w:r w:rsidRPr="005512E0">
        <w:rPr>
          <w:rFonts w:ascii="Times New Roman" w:hAnsi="Times New Roman" w:cs="Times New Roman"/>
          <w:bCs/>
          <w:sz w:val="20"/>
          <w:szCs w:val="20"/>
        </w:rPr>
        <w:t xml:space="preserve">eMethods1.- </w:t>
      </w:r>
      <w:r w:rsidRPr="00E25D8D">
        <w:rPr>
          <w:rFonts w:ascii="Times New Roman" w:hAnsi="Times New Roman" w:cs="Times New Roman"/>
          <w:sz w:val="20"/>
          <w:szCs w:val="20"/>
        </w:rPr>
        <w:t>Modelling design</w:t>
      </w:r>
    </w:p>
    <w:p w14:paraId="34F6BC2E" w14:textId="77777777" w:rsidR="00416D9D" w:rsidRPr="00E25D8D" w:rsidRDefault="00416D9D" w:rsidP="00E25D8D">
      <w:pPr>
        <w:spacing w:before="240" w:line="240" w:lineRule="auto"/>
        <w:ind w:right="-1"/>
        <w:jc w:val="both"/>
        <w:rPr>
          <w:rFonts w:ascii="Times New Roman" w:hAnsi="Times New Roman" w:cs="Times New Roman"/>
          <w:sz w:val="20"/>
          <w:szCs w:val="20"/>
        </w:rPr>
      </w:pPr>
      <w:r w:rsidRPr="00E25D8D">
        <w:rPr>
          <w:rFonts w:ascii="Times New Roman" w:hAnsi="Times New Roman" w:cs="Times New Roman"/>
          <w:sz w:val="20"/>
          <w:szCs w:val="20"/>
        </w:rPr>
        <w:t xml:space="preserve">Three simple Cox PH models were fitted for each transition separately. Although results are the same as those obtained with a multistate Cox proportional model with stratified hazards for the three transition types </w:t>
      </w:r>
      <w:r w:rsidR="006A2414">
        <w:rPr>
          <w:rFonts w:ascii="Times New Roman" w:hAnsi="Times New Roman" w:cs="Times New Roman"/>
          <w:sz w:val="20"/>
          <w:szCs w:val="20"/>
        </w:rPr>
        <w:t xml:space="preserve">(see eTable1) </w:t>
      </w:r>
      <w:r w:rsidRPr="00E25D8D">
        <w:rPr>
          <w:rFonts w:ascii="Times New Roman" w:hAnsi="Times New Roman" w:cs="Times New Roman"/>
          <w:sz w:val="20"/>
          <w:szCs w:val="20"/>
        </w:rPr>
        <w:t xml:space="preserve">as it is shown by Putter in his work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{"citationItems":[{"id":"ITEM-1","itemData":{"author":[{"dropping-particle":"","family":"Putter","given":"Hein","non-dropping-particle":"","parse-names":false,"suffix":""}],"container-title":"Statistics in medicine","id":"ITEM-1","issued":{"date-parts":[["2018"]]},"title":"Tutorial in biostatistics: Competing risks and multi-state models. Analyses using the mstate package","type":"article-journal"},"locator":"15","uris":["http://www.mendeley.com/documents/?uuid=f943d2f0-2132-4150-b7cd-0bc0e83f66f2"]}],"mendeley":{"formattedCitation":"&lt;sup&gt;10(p15)&lt;/sup&gt;","plainTextFormattedCitation":"10(p15)","previouslyFormattedCitation":"&lt;sup&gt;9(p15)&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10(p15)</w:t>
      </w:r>
      <w:r w:rsidRPr="00E25D8D">
        <w:rPr>
          <w:rFonts w:ascii="Times New Roman" w:hAnsi="Times New Roman" w:cs="Times New Roman"/>
          <w:sz w:val="20"/>
          <w:szCs w:val="20"/>
        </w:rPr>
        <w:fldChar w:fldCharType="end"/>
      </w:r>
      <w:r w:rsidR="00871097">
        <w:rPr>
          <w:rFonts w:ascii="Times New Roman" w:hAnsi="Times New Roman" w:cs="Times New Roman"/>
          <w:sz w:val="20"/>
          <w:szCs w:val="20"/>
        </w:rPr>
        <w:t xml:space="preserve"> </w:t>
      </w:r>
      <w:r w:rsidRPr="00E25D8D">
        <w:rPr>
          <w:rFonts w:ascii="Times New Roman" w:hAnsi="Times New Roman" w:cs="Times New Roman"/>
          <w:sz w:val="20"/>
          <w:szCs w:val="20"/>
        </w:rPr>
        <w:t>, a multilevel approach is difficult to be used in the latter</w:t>
      </w:r>
      <w:r w:rsidRPr="00704860">
        <w:rPr>
          <w:rStyle w:val="Appelnotedebasdep"/>
        </w:rPr>
        <w:footnoteReference w:id="2"/>
      </w:r>
      <w:r w:rsidRPr="00E25D8D">
        <w:rPr>
          <w:rFonts w:ascii="Times New Roman" w:hAnsi="Times New Roman" w:cs="Times New Roman"/>
          <w:sz w:val="20"/>
          <w:szCs w:val="20"/>
        </w:rPr>
        <w:t xml:space="preserve">. As we were interested in identifying country-specific variation in the hazards of each type of health transition, we therefore needed to include country-specific random intercepts and coefficients for each transition, reason why each transition is modelled separately as it is shown below. In total, we fitted three different models for each health transition type (see </w:t>
      </w:r>
      <w:r w:rsidR="00E25D8D" w:rsidRPr="00E25D8D">
        <w:rPr>
          <w:rFonts w:ascii="Times New Roman" w:hAnsi="Times New Roman" w:cs="Times New Roman"/>
          <w:b/>
          <w:sz w:val="20"/>
          <w:szCs w:val="20"/>
        </w:rPr>
        <w:t>eMethod</w:t>
      </w:r>
      <w:r w:rsidR="00E25D8D">
        <w:rPr>
          <w:rFonts w:ascii="Times New Roman" w:hAnsi="Times New Roman" w:cs="Times New Roman"/>
          <w:b/>
          <w:sz w:val="20"/>
          <w:szCs w:val="20"/>
        </w:rPr>
        <w:t>s</w:t>
      </w:r>
      <w:r w:rsidR="00E25D8D" w:rsidRPr="00E25D8D">
        <w:rPr>
          <w:rFonts w:ascii="Times New Roman" w:hAnsi="Times New Roman" w:cs="Times New Roman"/>
          <w:b/>
          <w:sz w:val="20"/>
          <w:szCs w:val="20"/>
        </w:rPr>
        <w:t>2</w:t>
      </w:r>
      <w:r w:rsidR="00E25D8D">
        <w:rPr>
          <w:rFonts w:ascii="Times New Roman" w:hAnsi="Times New Roman" w:cs="Times New Roman"/>
          <w:sz w:val="20"/>
          <w:szCs w:val="20"/>
        </w:rPr>
        <w:t>.Model</w:t>
      </w:r>
      <w:r w:rsidRPr="00E25D8D">
        <w:rPr>
          <w:rFonts w:ascii="Times New Roman" w:hAnsi="Times New Roman" w:cs="Times New Roman"/>
          <w:sz w:val="20"/>
          <w:szCs w:val="20"/>
        </w:rPr>
        <w:t xml:space="preserve"> description):</w:t>
      </w:r>
    </w:p>
    <w:p w14:paraId="789E0CF2" w14:textId="77777777" w:rsidR="00416D9D" w:rsidRPr="00E25D8D" w:rsidRDefault="00416D9D" w:rsidP="00E25D8D">
      <w:pPr>
        <w:spacing w:before="240" w:line="240" w:lineRule="auto"/>
        <w:ind w:right="426"/>
        <w:jc w:val="both"/>
        <w:rPr>
          <w:rFonts w:ascii="Times New Roman" w:hAnsi="Times New Roman" w:cs="Times New Roman"/>
          <w:b/>
          <w:sz w:val="20"/>
          <w:szCs w:val="20"/>
        </w:rPr>
      </w:pPr>
      <w:r w:rsidRPr="00E25D8D">
        <w:rPr>
          <w:rFonts w:ascii="Times New Roman" w:hAnsi="Times New Roman" w:cs="Times New Roman"/>
          <w:b/>
          <w:sz w:val="20"/>
          <w:szCs w:val="20"/>
        </w:rPr>
        <w:t>Modelling process</w:t>
      </w:r>
    </w:p>
    <w:p w14:paraId="626390C1" w14:textId="77777777" w:rsidR="00416D9D" w:rsidRPr="00E25D8D" w:rsidRDefault="00416D9D" w:rsidP="00E25D8D">
      <w:pPr>
        <w:pStyle w:val="Titre3"/>
        <w:spacing w:before="240" w:after="240"/>
        <w:rPr>
          <w:rFonts w:ascii="Times New Roman" w:hAnsi="Times New Roman" w:cs="Times New Roman"/>
          <w:sz w:val="20"/>
          <w:szCs w:val="20"/>
        </w:rPr>
      </w:pPr>
      <w:r w:rsidRPr="00E25D8D">
        <w:rPr>
          <w:rFonts w:ascii="Times New Roman" w:hAnsi="Times New Roman" w:cs="Times New Roman"/>
          <w:sz w:val="20"/>
          <w:szCs w:val="20"/>
        </w:rPr>
        <w:t xml:space="preserve">Cox Proportional Hazards model </w:t>
      </w:r>
    </w:p>
    <w:p w14:paraId="20B52B3C" w14:textId="77777777" w:rsidR="00416D9D" w:rsidRPr="00E25D8D" w:rsidRDefault="00416D9D" w:rsidP="00E25D8D">
      <w:pPr>
        <w:spacing w:before="240" w:after="240" w:line="240" w:lineRule="auto"/>
        <w:jc w:val="both"/>
        <w:rPr>
          <w:rFonts w:ascii="Times New Roman" w:hAnsi="Times New Roman" w:cs="Times New Roman"/>
          <w:iCs/>
          <w:sz w:val="20"/>
          <w:szCs w:val="20"/>
        </w:rPr>
      </w:pPr>
      <w:r w:rsidRPr="00E25D8D">
        <w:rPr>
          <w:rFonts w:ascii="Times New Roman" w:hAnsi="Times New Roman" w:cs="Times New Roman"/>
          <w:sz w:val="20"/>
          <w:szCs w:val="20"/>
        </w:rPr>
        <w:t xml:space="preserve">In order to evaluate the impact of different kinds of living arrangements on health transitions, a simple Cox PH model is used. This is a robust and flexible method known to fit the data very well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{"citationItems":[{"id":"ITEM-1","itemData":{"author":[{"dropping-particle":"","family":"Mills","given":"Melinda","non-dropping-particle":"","parse-names":false,"suffix":""}],"id":"ITEM-1","issued":{"date-parts":[["2011"]]},"title":"Introducing Survival and Event History Analysis","type":"book"},"uris":["http://www.mendeley.com/documents/?uuid=12dba840-122f-411b-8242-ed85649dd80a"]},{"id":"ITEM-2","itemData":{"author":[{"dropping-particle":"","family":"Allison","given":"Paul","non-dropping-particle":"","parse-names":false,"suffix":""}],"id":"ITEM-2","issued":{"date-parts":[["2014"]]},"title":"Event History and Survival Analysis (Quantitative Applications in the Social Sciences)","type":"book"},"uris":["http://www.mendeley.com/documents/?uuid=7d1bafd9-82b2-42f2-97d4-1d9a72692450"]}],"mendeley":{"formattedCitation":"&lt;sup&gt;11,12&lt;/sup&gt;","plainTextFormattedCitation":"11,12","previouslyFormattedCitation":"&lt;sup&gt;10,11&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11,12</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xml:space="preserve">, with results being similar to a PH model with a Poisson distribution and a logistic transformation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{"citationItems":[{"id":"ITEM-1","itemData":{"DOI":"10.1186/1471-2288-12-34","ISBN":"1471-2288","ISSN":"14712288","PMID":"22443286","abstract":"Background: An Individual Patient Data (IPD) meta-analysis is often considered the gold-standard for synthesising survival data from clinical trials. An IPD meta-analysis can be achieved by either a two-stage or a one-stage approach, depending on whether the trials are analysed separately or simultaneously. A range of one-stage hierarchical Cox models have been previously proposed, but these are known to be computationally intensive and are not currently available in all standard statistical software. We describe an alternative approach using Poisson based Generalised Linear Models (GLMs). Methods: We illustrate, through application and simulation, the Poisson approach both classically and in a Bayesian framework, in two-stage and one-stage approaches. We outline the benefits of our one-stage approach through extension to modelling treatment-covariate interactions and non-proportional hazards. Ten trials of hypertension treatment, with all-cause death the outcome of interest, are used to apply and assess the approach. Results: We show that the Poisson approach obtains almost identical estimates to the Cox model, is additionally computationally efficient and directly estimates the baseline hazard. Some downward bias is observed in classical estimates of the heterogeneity in the treatment effect, with improved performance from the Bayesian approach. Conclusion: Our approach provides a highly flexible and computationally efficient framework, available in all standard statistical software, to the investigation of not only heterogeneity, but the presence of non-proportional hazards and treatment effect modifiers. Background","author":[{"dropping-particle":"","family":"Crowther","given":"Michael J.","non-dropping-particle":"","parse-names":false,"suffix":""},{"dropping-particle":"","family":"Riley","given":"Richard D.","non-dropping-particle":"","parse-names":false,"suffix":""},{"dropping-particle":"","family":"Staessen","given":"Jan A.","non-dropping-particle":"","parse-names":false,"suffix":""},{"dropping-particle":"","family":"Wang","given":"Jiguang","non-dropping-particle":"","parse-names":false,"suffix":""},{"dropping-particle":"","family":"Gueyffier","given":"Francois","non-dropping-particle":"","parse-names":false,"suffix":""},{"dropping-particle":"","family":"Lambert","given":"Paul C.","non-dropping-particle":"","parse-names":false,"suffix":""}],"container-title":"BMC Medical Research Methodology","id":"ITEM-1","issued":{"date-parts":[["2012"]]},"title":"Individual patient data meta-analysis of survival data using Poisson regression models","type":"article-journal","volume":"12"},"uris":["http://www.mendeley.com/documents/?uuid=1ab4d792-0f77-4f71-9bf0-558a3e7c8a44"]}],"mendeley":{"formattedCitation":"&lt;sup&gt;13&lt;/sup&gt;","plainTextFormattedCitation":"13","previouslyFormattedCitation":"&lt;sup&gt;12&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13</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xml:space="preserve">. </w:t>
      </w:r>
      <w:r w:rsidRPr="00E25D8D">
        <w:rPr>
          <w:rFonts w:ascii="Times New Roman" w:hAnsi="Times New Roman" w:cs="Times New Roman"/>
          <w:iCs/>
          <w:sz w:val="20"/>
          <w:szCs w:val="20"/>
        </w:rPr>
        <w:t xml:space="preserve">Cox PH models allow to estimate cumulative hazards by time (age) from the observed transition rates. Klotz and </w:t>
      </w:r>
      <w:proofErr w:type="spellStart"/>
      <w:r w:rsidRPr="00E25D8D">
        <w:rPr>
          <w:rFonts w:ascii="Times New Roman" w:hAnsi="Times New Roman" w:cs="Times New Roman"/>
          <w:iCs/>
          <w:sz w:val="20"/>
          <w:szCs w:val="20"/>
        </w:rPr>
        <w:t>Göllner</w:t>
      </w:r>
      <w:proofErr w:type="spellEnd"/>
      <w:r w:rsidRPr="00E25D8D">
        <w:rPr>
          <w:rFonts w:ascii="Times New Roman" w:hAnsi="Times New Roman" w:cs="Times New Roman"/>
          <w:iCs/>
          <w:sz w:val="20"/>
          <w:szCs w:val="20"/>
        </w:rPr>
        <w:t xml:space="preserve"> </w:t>
      </w:r>
      <w:r w:rsidRPr="00E25D8D">
        <w:rPr>
          <w:rFonts w:ascii="Times New Roman" w:hAnsi="Times New Roman" w:cs="Times New Roman"/>
          <w:iCs/>
          <w:sz w:val="20"/>
          <w:szCs w:val="20"/>
        </w:rPr>
        <w:fldChar w:fldCharType="begin" w:fldLock="1"/>
      </w:r>
      <w:r w:rsidR="00446BC0">
        <w:rPr>
          <w:rFonts w:ascii="Times New Roman" w:hAnsi="Times New Roman" w:cs="Times New Roman"/>
          <w:iCs/>
          <w:sz w:val="20"/>
          <w:szCs w:val="20"/>
        </w:rPr>
        <w:instrText>ADDIN CSL_CITATION {"citationItems":[{"id":"ITEM-1","itemData":{"author":[{"dropping-particle":"","family":"Klotz","given":"Johannes","non-dropping-particle":"","parse-names":false,"suffix":""},{"dropping-particle":"","family":"Göllner","given":"Tobias","non-dropping-particle":"","parse-names":false,"suffix":""}],"id":"ITEM-1","issue":"October","issued":{"date-parts":[["2017"]]},"title":"Estimating Differential Mortality from EU-SILC Longitudinal Data A Feasibility Study","type":"article-journal"},"uris":["http://www.mendeley.com/documents/?uuid=98b48c47-d080-465a-84ff-46428f352949"]}],"mendeley":{"formattedCitation":"&lt;sup&gt;9&lt;/sup&gt;","plainTextFormattedCitation":"9","previouslyFormattedCitation":"&lt;sup&gt;8&lt;/sup&gt;"},"properties":{"noteIndex":0},"schema":"https://github.com/citation-style-language/schema/raw/master/csl-citation.json"}</w:instrText>
      </w:r>
      <w:r w:rsidRPr="00E25D8D">
        <w:rPr>
          <w:rFonts w:ascii="Times New Roman" w:hAnsi="Times New Roman" w:cs="Times New Roman"/>
          <w:iCs/>
          <w:sz w:val="20"/>
          <w:szCs w:val="20"/>
        </w:rPr>
        <w:fldChar w:fldCharType="separate"/>
      </w:r>
      <w:r w:rsidR="00446BC0" w:rsidRPr="00446BC0">
        <w:rPr>
          <w:rFonts w:ascii="Times New Roman" w:hAnsi="Times New Roman" w:cs="Times New Roman"/>
          <w:iCs/>
          <w:noProof/>
          <w:sz w:val="20"/>
          <w:szCs w:val="20"/>
          <w:vertAlign w:val="superscript"/>
        </w:rPr>
        <w:t>9</w:t>
      </w:r>
      <w:r w:rsidRPr="00E25D8D">
        <w:rPr>
          <w:rFonts w:ascii="Times New Roman" w:hAnsi="Times New Roman" w:cs="Times New Roman"/>
          <w:iCs/>
          <w:sz w:val="20"/>
          <w:szCs w:val="20"/>
        </w:rPr>
        <w:fldChar w:fldCharType="end"/>
      </w:r>
      <w:r w:rsidRPr="00E25D8D">
        <w:rPr>
          <w:rFonts w:ascii="Times New Roman" w:hAnsi="Times New Roman" w:cs="Times New Roman"/>
          <w:iCs/>
          <w:sz w:val="20"/>
          <w:szCs w:val="20"/>
        </w:rPr>
        <w:t xml:space="preserve"> applied this method to estimate socioeconomic mortality differentials, for which EU-SILC data was also used. </w:t>
      </w:r>
    </w:p>
    <w:p w14:paraId="61485E95" w14:textId="77777777" w:rsidR="00416D9D" w:rsidRPr="00E25D8D" w:rsidRDefault="00416D9D" w:rsidP="00E25D8D">
      <w:pPr>
        <w:spacing w:before="240" w:after="240" w:line="240" w:lineRule="auto"/>
        <w:jc w:val="both"/>
        <w:rPr>
          <w:rStyle w:val="Accentuationintense"/>
          <w:rFonts w:ascii="Times New Roman" w:hAnsi="Times New Roman" w:cs="Times New Roman"/>
          <w:i w:val="0"/>
          <w:sz w:val="20"/>
          <w:szCs w:val="20"/>
        </w:rPr>
      </w:pPr>
      <w:r w:rsidRPr="00E25D8D">
        <w:rPr>
          <w:rFonts w:ascii="Times New Roman" w:hAnsi="Times New Roman" w:cs="Times New Roman"/>
          <w:iCs/>
          <w:sz w:val="20"/>
          <w:szCs w:val="20"/>
        </w:rPr>
        <w:t xml:space="preserve">Using the R package “survival”, we then performed a covariate analysis on the hazard ratios (exponentiated coefficients), thereby obtaining the multiplicative effects of the predictors </w:t>
      </w:r>
      <w:r w:rsidRPr="00E25D8D">
        <w:rPr>
          <w:rFonts w:ascii="Times New Roman" w:hAnsi="Times New Roman" w:cs="Times New Roman"/>
          <w:iCs/>
          <w:sz w:val="20"/>
          <w:szCs w:val="20"/>
        </w:rPr>
        <w:fldChar w:fldCharType="begin" w:fldLock="1"/>
      </w:r>
      <w:r w:rsidR="00446BC0">
        <w:rPr>
          <w:rFonts w:ascii="Times New Roman" w:hAnsi="Times New Roman" w:cs="Times New Roman"/>
          <w:iCs/>
          <w:sz w:val="20"/>
          <w:szCs w:val="20"/>
        </w:rPr>
        <w:instrText>ADDIN CSL_CITATION {"citationItems":[{"id":"ITEM-1","itemData":{"author":[{"dropping-particle":"","family":"Wreede","given":"Liesbeth C.","non-dropping-particle":"de","parse-names":false,"suffix":""},{"dropping-particle":"","family":"Fiocco","given":"Marta","non-dropping-particle":"","parse-names":false,"suffix":""},{"dropping-particle":"","family":"Putter","given":"Hein","non-dropping-particle":"","parse-names":false,"suffix":""}],"container-title":"Journal of Statistical Software","id":"ITEM-1","issue":"7","issued":{"date-parts":[["2011"]]},"title":"mstate : An R Package for the Analysis of","type":"article-journal","volume":"38"},"uris":["http://www.mendeley.com/documents/?uuid=c0c75592-17ee-45bc-aac8-647bb3e45436"]},{"id":"ITEM-2","itemData":{"ISSN":"1548-7660","author":[{"dropping-particle":"","family":"Putter","given":"Hein","non-dropping-particle":"","parse-names":false,"suffix":""}],"id":"ITEM-2","issue":"1","issued":{"date-parts":[["2011"]]},"page":"1-4","title":"Special Issue about Competing Risks and Multi-State Models","type":"article-journal","volume":"38"},"uris":["http://www.mendeley.com/documents/?uuid=924e2493-5605-42d0-b57b-82bed7e7be70"]},{"id":"ITEM-3","itemData":{"DOI":"10.1007/978-3-319-08383-4","ISBN":"978-3-319-08382-7","ISSN":"2197-5736","abstract":"This book provides an introduction to multistate event history analysis. It is an extension of survival analysis, in which a single terminal event (endpoint) is considered and the time-to-event is studied. Multistate models focus on life histories or trajectories, conceptualized as sequences of states and sequences of transitions between states. Life histories are modeled as realizations of continuous-time Markov processes. The model parameters, transition rates, are estimated from data on event counts and populations at risk, using the statistical theory of counting processes. The Comprehensive R Network Archive (CRAN) includes several packages for multistate modeling. This book is about Biograph. The package is designed to (a) enhance exploratory analysis of life histories and (b) make multistate modeling accessible. The package incorporates utilities that connect to several packages for multistate modeling, including survival, eha, Epi, mvna, etm, mstate, msm, and TraMineR for sequence analysis. The book is a ‘hands-on’ presentation of Biograph and the packages listed. It is written from the perspective of the user. To help the user master the techniques and the software, a single data set is used to illustrate the methods and software. It is the subsample of the German Life History Survey, which was also used by Blossfeld and Rohwer in their popular textbook on event history modeling. Another data set, the Netherlands Family and Fertility Survey, is used to illustrate how Biograph can assist in answering questions on life paths of cohorts and individuals. The book is suitable as a textbook for graduate courses on event history analysis and introductory courses on competing risks and multistate models. It may also be used as a self-study book. The R code used in the book is available online. Frans Willekens is affiliated with the Max Planck Institute for Demographic Research (MPIDR) in Rostock, Germany. He is Emeritus Professor of Demography at the University of Groningen, a Honorary Fellow of the Netherlands Interdisciplinary Demographic Institute (NIDI) in the Hague, and a Research Associate of the International Institute for Applied Systems Analysis (IIASA), Laxenburg, Austria. He has contributed to the modeling and simulation of life histories, mainly in the context of population forecasting.","author":[{"dropping-particle":"","family":"Willekens","given":"Frans","non-dropping-particle":"","parse-names":false,"suffix":""}],"id":"ITEM-3","issued":{"date-parts":[["2014"]]},"page":"81-107","title":"Multistate Analysis of Life Histories with R","type":"article-journal"},"uris":["http://www.mendeley.com/documents/?uuid=654efc98-5dc8-4cdf-8874-ac106729036e"]}],"mendeley":{"formattedCitation":"&lt;sup&gt;14–16&lt;/sup&gt;","plainTextFormattedCitation":"14–16","previouslyFormattedCitation":"&lt;sup&gt;13–15&lt;/sup&gt;"},"properties":{"noteIndex":0},"schema":"https://github.com/citation-style-language/schema/raw/master/csl-citation.json"}</w:instrText>
      </w:r>
      <w:r w:rsidRPr="00E25D8D">
        <w:rPr>
          <w:rFonts w:ascii="Times New Roman" w:hAnsi="Times New Roman" w:cs="Times New Roman"/>
          <w:iCs/>
          <w:sz w:val="20"/>
          <w:szCs w:val="20"/>
        </w:rPr>
        <w:fldChar w:fldCharType="separate"/>
      </w:r>
      <w:r w:rsidR="00446BC0" w:rsidRPr="00446BC0">
        <w:rPr>
          <w:rFonts w:ascii="Times New Roman" w:hAnsi="Times New Roman" w:cs="Times New Roman"/>
          <w:iCs/>
          <w:noProof/>
          <w:sz w:val="20"/>
          <w:szCs w:val="20"/>
          <w:vertAlign w:val="superscript"/>
        </w:rPr>
        <w:t>14–16</w:t>
      </w:r>
      <w:r w:rsidRPr="00E25D8D">
        <w:rPr>
          <w:rFonts w:ascii="Times New Roman" w:hAnsi="Times New Roman" w:cs="Times New Roman"/>
          <w:iCs/>
          <w:sz w:val="20"/>
          <w:szCs w:val="20"/>
        </w:rPr>
        <w:fldChar w:fldCharType="end"/>
      </w:r>
      <w:r w:rsidRPr="00E25D8D">
        <w:rPr>
          <w:rFonts w:ascii="Times New Roman" w:hAnsi="Times New Roman" w:cs="Times New Roman"/>
          <w:iCs/>
          <w:sz w:val="20"/>
          <w:szCs w:val="20"/>
        </w:rPr>
        <w:t xml:space="preserve">. </w:t>
      </w:r>
      <w:r w:rsidRPr="00E25D8D">
        <w:rPr>
          <w:rFonts w:ascii="Times New Roman" w:hAnsi="Times New Roman" w:cs="Times New Roman"/>
          <w:sz w:val="20"/>
          <w:szCs w:val="20"/>
        </w:rPr>
        <w:t xml:space="preserve">In our model, we assume the existence of proportionality across time, which means that the relative hazard is constant over the time range used (in our case, the ages of the individuals in the study) for the possible transitions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{"citationItems":[{"id":"ITEM-1","itemData":{"DOI":"10.1007/978-3-319-08383-4","ISBN":"978-3-319-08382-7","ISSN":"2197-5736","abstract":"This book provides an introduction to multistate event history analysis. It is an extension of survival analysis, in which a single terminal event (endpoint) is considered and the time-to-event is studied. Multistate models focus on life histories or trajectories, conceptualized as sequences of states and sequences of transitions between states. Life histories are modeled as realizations of continuous-time Markov processes. The model parameters, transition rates, are estimated from data on event counts and populations at risk, using the statistical theory of counting processes. The Comprehensive R Network Archive (CRAN) includes several packages for multistate modeling. This book is about Biograph. The package is designed to (a) enhance exploratory analysis of life histories and (b) make multistate modeling accessible. The package incorporates utilities that connect to several packages for multistate modeling, including survival, eha, Epi, mvna, etm, mstate, msm, and TraMineR for sequence analysis. The book is a ‘hands-on’ presentation of Biograph and the packages listed. It is written from the perspective of the user. To help the user master the techniques and the software, a single data set is used to illustrate the methods and software. It is the subsample of the German Life History Survey, which was also used by Blossfeld and Rohwer in their popular textbook on event history modeling. Another data set, the Netherlands Family and Fertility Survey, is used to illustrate how Biograph can assist in answering questions on life paths of cohorts and individuals. The book is suitable as a textbook for graduate courses on event history analysis and introductory courses on competing risks and multistate models. It may also be used as a self-study book. The R code used in the book is available online. Frans Willekens is affiliated with the Max Planck Institute for Demographic Research (MPIDR) in Rostock, Germany. He is Emeritus Professor of Demography at the University of Groningen, a Honorary Fellow of the Netherlands Interdisciplinary Demographic Institute (NIDI) in the Hague, and a Research Associate of the International Institute for Applied Systems Analysis (IIASA), Laxenburg, Austria. He has contributed to the modeling and simulation of life histories, mainly in the context of population forecasting.","author":[{"dropping-particle":"","family":"Willekens","given":"Frans","non-dropping-particle":"","parse-names":false,"suffix":""}],"id":"ITEM-1","issued":{"date-parts":[["2014"]]},"page":"81-107","title":"Multistate Analysis of Life Histories with R","type":"article-journal"},"uris":["http://www.mendeley.com/documents/?uuid=654efc98-5dc8-4cdf-8874-ac106729036e"]}],"mendeley":{"formattedCitation":"&lt;sup&gt;16&lt;/sup&gt;","plainTextFormattedCitation":"16","previouslyFormattedCitation":"&lt;sup&gt;15&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16</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xml:space="preserve">. The hazard ratio between two individuals at any point in time (ages in this study) is constant, and changes in the hazards depend on the covariates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{"citationItems":[{"id":"ITEM-1","itemData":{"author":[{"dropping-particle":"","family":"Allison","given":"Paul","non-dropping-particle":"","parse-names":false,"suffix":""}],"id":"ITEM-1","issued":{"date-parts":[["2014"]]},"title":"Event History and Survival Analysis (Quantitative Applications in the Social Sciences)","type":"book"},"uris":["http://www.mendeley.com/documents/?uuid=7d1bafd9-82b2-42f2-97d4-1d9a72692450"]}],"mendeley":{"formattedCitation":"&lt;sup&gt;12&lt;/sup&gt;","plainTextFormattedCitation":"12","previouslyFormattedCitation":"&lt;sup&gt;11&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12</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xml:space="preserve"> .In this sense, it is also defined as the relative risk compared to the reference category, which corresponds to the baseline hazards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{"citationItems":[{"id":"ITEM-1","itemData":{"author":[{"dropping-particle":"","family":"Broström","given":"Göran","non-dropping-particle":"","parse-names":false,"suffix":""}],"id":"ITEM-1","issued":{"date-parts":[["2012"]]},"title":"Event History Analysis with R","type":"book"},"uris":["http://www.mendeley.com/documents/?uuid=502677d0-d6a5-400f-a7f9-b5ef65dcd4ee"]}],"mendeley":{"formattedCitation":"&lt;sup&gt;17&lt;/sup&gt;","plainTextFormattedCitation":"17","previouslyFormattedCitation":"&lt;sup&gt;16&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17</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w:t>
      </w:r>
      <w:r w:rsidRPr="00E25D8D" w:rsidDel="00DD09B3">
        <w:rPr>
          <w:rFonts w:ascii="Times New Roman" w:hAnsi="Times New Roman" w:cs="Times New Roman"/>
          <w:sz w:val="20"/>
          <w:szCs w:val="20"/>
        </w:rPr>
        <w:t xml:space="preserve"> </w:t>
      </w:r>
    </w:p>
    <w:p w14:paraId="30616667" w14:textId="77777777" w:rsidR="00416D9D" w:rsidRPr="00B97111" w:rsidRDefault="00000000" w:rsidP="00416D9D">
      <w:pPr>
        <w:spacing w:before="240" w:after="240" w:line="480" w:lineRule="auto"/>
        <w:ind w:firstLine="567"/>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t</m:t>
              </m:r>
            </m:e>
          </m:d>
          <m:sSup>
            <m:sSupPr>
              <m:ctrlPr>
                <w:rPr>
                  <w:rFonts w:ascii="Cambria Math" w:hAnsi="Cambria Math" w:cs="Times New Roman"/>
                  <w:i/>
                </w:rPr>
              </m:ctrlPr>
            </m:sSupPr>
            <m:e>
              <m:r>
                <w:rPr>
                  <w:rFonts w:ascii="Cambria Math" w:hAnsi="Cambria Math" w:cs="Times New Roman"/>
                </w:rPr>
                <m:t>e</m:t>
              </m:r>
            </m:e>
            <m:sup>
              <m:nary>
                <m:naryPr>
                  <m:chr m:val="∑"/>
                  <m:limLoc m:val="subSup"/>
                  <m:supHide m:val="1"/>
                  <m:ctrlPr>
                    <w:rPr>
                      <w:rFonts w:ascii="Cambria Math" w:hAnsi="Cambria Math" w:cs="Times New Roman"/>
                      <w:i/>
                    </w:rPr>
                  </m:ctrlPr>
                </m:naryPr>
                <m:sub>
                  <m:r>
                    <w:rPr>
                      <w:rFonts w:ascii="Cambria Math" w:hAnsi="Cambria Math" w:cs="Times New Roman"/>
                    </w:rPr>
                    <m:t>k</m:t>
                  </m:r>
                </m:sub>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k,i</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m:t>
                      </m:r>
                    </m:sub>
                  </m:sSub>
                </m:e>
              </m:nary>
            </m:sup>
          </m:sSup>
        </m:oMath>
      </m:oMathPara>
    </w:p>
    <w:p w14:paraId="23A242F4" w14:textId="77777777" w:rsidR="00416D9D" w:rsidRPr="00E25D8D" w:rsidRDefault="00416D9D" w:rsidP="00E25D8D">
      <w:pPr>
        <w:spacing w:before="240" w:after="240" w:line="240" w:lineRule="auto"/>
        <w:ind w:firstLine="567"/>
        <w:jc w:val="both"/>
        <w:rPr>
          <w:rFonts w:ascii="Times New Roman" w:hAnsi="Times New Roman" w:cs="Times New Roman"/>
          <w:sz w:val="20"/>
          <w:szCs w:val="20"/>
        </w:rPr>
      </w:pPr>
      <w:r w:rsidRPr="00E25D8D">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t</m:t>
            </m:r>
          </m:e>
        </m:d>
      </m:oMath>
      <w:r w:rsidRPr="00E25D8D">
        <w:rPr>
          <w:rFonts w:ascii="Times New Roman" w:hAnsi="Times New Roman" w:cs="Times New Roman"/>
          <w:sz w:val="20"/>
          <w:szCs w:val="20"/>
        </w:rPr>
        <w:t xml:space="preserve"> is an unspecified baseline hazard function and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k,i</m:t>
            </m:r>
          </m:sub>
        </m:sSub>
      </m:oMath>
      <w:r w:rsidRPr="00E25D8D">
        <w:rPr>
          <w:rFonts w:ascii="Times New Roman" w:hAnsi="Times New Roman" w:cs="Times New Roman"/>
          <w:sz w:val="20"/>
          <w:szCs w:val="20"/>
          <w:vertAlign w:val="subscript"/>
        </w:rPr>
        <w:t xml:space="preserve"> </w:t>
      </w:r>
      <w:r w:rsidRPr="00E25D8D">
        <w:rPr>
          <w:rFonts w:ascii="Times New Roman" w:hAnsi="Times New Roman" w:cs="Times New Roman"/>
          <w:sz w:val="20"/>
          <w:szCs w:val="20"/>
        </w:rPr>
        <w:t xml:space="preserve">is the log hazard ratio for individual or category </w:t>
      </w:r>
      <w:proofErr w:type="spellStart"/>
      <w:r w:rsidRPr="00E25D8D">
        <w:rPr>
          <w:rFonts w:ascii="Times New Roman" w:hAnsi="Times New Roman" w:cs="Times New Roman"/>
          <w:i/>
          <w:iCs/>
          <w:sz w:val="20"/>
          <w:szCs w:val="20"/>
        </w:rPr>
        <w:t>i</w:t>
      </w:r>
      <w:proofErr w:type="spellEnd"/>
      <w:r w:rsidRPr="00E25D8D">
        <w:rPr>
          <w:rFonts w:ascii="Times New Roman" w:hAnsi="Times New Roman" w:cs="Times New Roman"/>
          <w:sz w:val="20"/>
          <w:szCs w:val="20"/>
        </w:rPr>
        <w:t xml:space="preserve"> for a predictor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k</m:t>
            </m:r>
          </m:sub>
        </m:sSub>
      </m:oMath>
      <w:r w:rsidRPr="00E25D8D">
        <w:rPr>
          <w:rFonts w:ascii="Times New Roman" w:hAnsi="Times New Roman" w:cs="Times New Roman"/>
          <w:sz w:val="20"/>
          <w:szCs w:val="20"/>
        </w:rPr>
        <w:t xml:space="preserve">, compared to the reference category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{"citationItems":[{"id":"ITEM-1","itemData":{"DOI":"10.1002/sim.6191","ISBN":"1097-0258","ISSN":"10970258","PMID":"24789760","abstract":"Multilevel mixed effects survival models are used in the analysis of clustered survival data, such as repeated events, multicenter clinical trials, and individual participant data (IPD) meta-analyses, to investigate heterogeneity in baseline risk and covariate effects. In this paper, we extend parametric frailty models including the exponential, Weibull and Gompertz proportional hazards (PH) models and the log logistic, log normal, and generalized gamma accelerated failure time models to allow any number of normally distributed random effects. Furthermore, we extend the flexible parametric survival model of Royston and Parmar, modeled on the log-cumulative hazard scale using restricted cubic splines, to include random effects while also allowing for non-PH (time-dependent effects). Maximum likelihood is used to estimate the models utilizing adaptive or nonadaptive Gauss–Hermite quadrature. The methods are evaluated through simulation studies representing clinically plausible scenarios of a multicenter trial and IPD meta-analysis, showing good performance of the estimation method. The flexible parametric mixed effects model is illustrated using a dataset of patients with kidney disease and repeated times to infection and an IPD meta-analysis of prognostic factor studies in patients with breast cancer. User-friendly Stata software is provided to implement the methods. Copyright © 2014 John Wiley &amp; Sons, Ltd.","author":[{"dropping-particle":"","family":"Crowther","given":"Michael J.","non-dropping-particle":"","parse-names":false,"suffix":""},{"dropping-particle":"","family":"Look","given":"Maxime P.","non-dropping-particle":"","parse-names":false,"suffix":""},{"dropping-particle":"","family":"Riley","given":"Richard D.","non-dropping-particle":"","parse-names":false,"suffix":""}],"container-title":"Statistics in Medicine","id":"ITEM-1","issue":"22","issued":{"date-parts":[["2014"]]},"page":"3844-3858","title":"Multilevel mixed effects parametric survival models using adaptive Gauss-Hermite quadrature with application to recurrent events and individual participant data meta-analysis","type":"article-journal","volume":"33"},"uris":["http://www.mendeley.com/documents/?uuid=40058da2-24d4-4f59-85db-930be809f85e"]},{"id":"ITEM-2","itemData":{"author":[{"dropping-particle":"","family":"Allison","given":"Paul","non-dropping-particle":"","parse-names":false,"suffix":""}],"id":"ITEM-2","issued":{"date-parts":[["2014"]]},"title":"Event History and Survival Analysis (Quantitative Applications in the Social Sciences)","type":"book"},"uris":["http://www.mendeley.com/documents/?uuid=7d1bafd9-82b2-42f2-97d4-1d9a72692450"]}],"mendeley":{"formattedCitation":"&lt;sup&gt;12,18&lt;/sup&gt;","plainTextFormattedCitation":"12,18","previouslyFormattedCitation":"&lt;sup&gt;11,17&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12,18</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w:t>
      </w:r>
    </w:p>
    <w:p w14:paraId="22EF53B3"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hAnsi="Times New Roman" w:cs="Times New Roman"/>
          <w:sz w:val="20"/>
          <w:szCs w:val="20"/>
        </w:rPr>
        <w:t>The assumption of proportional hazards by age with the same level for the different health transition types studied here (i.e. health improvements (NH), health deterioration (HN) and death (ND)) is not always met in studies on recurrent events. This is due to distinct causal mechanisms governing each kind of transition</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{"citationItems":[{"id":"ITEM-1","itemData":{"author":[{"dropping-particle":"","family":"Allison","given":"Paul","non-dropping-particle":"","parse-names":false,"suffix":""}],"id":"ITEM-1","issued":{"date-parts":[["2014"]]},"title":"Event History and Survival Analysis (Quantitative Applications in the Social Sciences)","type":"book"},"locator":"54","uris":["http://www.mendeley.com/documents/?uuid=7d1bafd9-82b2-42f2-97d4-1d9a72692450"]}],"mendeley":{"formattedCitation":"&lt;sup&gt;12(p54)&lt;/sup&gt;","plainTextFormattedCitation":"12(p54)","previouslyFormattedCitation":"&lt;sup&gt;11(p54)&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12(p54)</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Fortunately, this can be resolved by relaxing the proportionality hypothesis of the Cox model by stratifying the baseline hazard function for the three transition types studied</w:t>
      </w:r>
      <w:r w:rsidR="00871097">
        <w:rPr>
          <w:rFonts w:ascii="Times New Roman" w:hAnsi="Times New Roman" w:cs="Times New Roman"/>
          <w:sz w:val="20"/>
          <w:szCs w:val="20"/>
        </w:rPr>
        <w:t xml:space="preserve"> (see TABLE1)</w:t>
      </w:r>
      <w:r w:rsidRPr="00E25D8D">
        <w:rPr>
          <w:rFonts w:ascii="Times New Roman" w:hAnsi="Times New Roman" w:cs="Times New Roman"/>
          <w:sz w:val="20"/>
          <w:szCs w:val="20"/>
        </w:rPr>
        <w:t xml:space="preserve">. Although another option could be to introduce an interaction effect between time and the covariates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{"citationItems":[{"id":"ITEM-1","itemData":{"author":[{"dropping-particle":"","family":"Mills","given":"Melinda","non-dropping-particle":"","parse-names":false,"suffix":""}],"id":"ITEM-1","issued":{"date-parts":[["2011"]]},"title":"Introducing Survival and Event History Analysis","type":"book"},"uris":["http://www.mendeley.com/documents/?uuid=12dba840-122f-411b-8242-ed85649dd80a"]},{"id":"ITEM-2","itemData":{"DOI":"10.4172/2161-1165.1000216.The","abstract":"Objective—To demonstrate the adverse impact of ignoring statistical interactions in regression models used in epidemiologic studies. Study design and setting—Based on different scenarios that involved known values for coefficient of the interaction term in Cox regression models we generated 1000 samples of size 600 each. The simulated samples and a real life data set from the Cameron County Hispanic Cohort were used to evaluate the effect of ignoring statistical interactions in these models. Results—Compared to correctly specified Cox regression models with interaction terms, misspecified models without interaction terms resulted in up to 8.95 fold bias in estimated regression coefficients. Whereas when data were generated from a perfect additive Cox proportional hazards regression model the inclusion of the interaction between the two covariates resulted in only 2% estimated bias in main effect regression coefficients estimates, but did not alter the main findings of no significant interactions. This","author":[{"dropping-particle":"","family":"Vatchera","given":"K.P","non-dropping-particle":"","parse-names":false,"suffix":""},{"dropping-particle":"","family":"Lee","given":"M.","non-dropping-particle":"","parse-names":false,"suffix":""},{"dropping-particle":"","family":"MacCormick","given":"J.B.","non-dropping-particle":"","parse-names":false,"suffix":""},{"dropping-particle":"","family":"Rahbar","given":"M.H.","non-dropping-particle":"","parse-names":false,"suffix":""}],"container-title":"Epidemiology","id":"ITEM-2","issue":"1","issued":{"date-parts":[["2015"]]},"page":"1-17","title":"The Effect of Ignoring Statistical Interactions in Regression Analyses Conducted in Epidemiologic Studies: An Example with Survival Analysis Using Cox Proportional Hazards Regression Model","type":"article-journal","volume":"6"},"uris":["http://www.mendeley.com/documents/?uuid=f0571ae2-ee03-4483-b727-d6f4a026bc6d"]}],"mendeley":{"formattedCitation":"&lt;sup&gt;11,19&lt;/sup&gt;","plainTextFormattedCitation":"11,19","previouslyFormattedCitation":"&lt;sup&gt;10,18&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11,19</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we apply a Cox model for the three studied transition types and introduce mixed effects model</w:t>
      </w:r>
      <w:r w:rsidR="00871097">
        <w:rPr>
          <w:rFonts w:ascii="Times New Roman" w:hAnsi="Times New Roman" w:cs="Times New Roman"/>
          <w:sz w:val="20"/>
          <w:szCs w:val="20"/>
        </w:rPr>
        <w:t>l</w:t>
      </w:r>
      <w:r w:rsidRPr="00E25D8D">
        <w:rPr>
          <w:rFonts w:ascii="Times New Roman" w:hAnsi="Times New Roman" w:cs="Times New Roman"/>
          <w:sz w:val="20"/>
          <w:szCs w:val="20"/>
        </w:rPr>
        <w:t xml:space="preserve">ing to test whether the control variables sex, cohort and educational attainment modify survival time and health changes according to living arrangements.  </w:t>
      </w:r>
    </w:p>
    <w:p w14:paraId="526AB153" w14:textId="77777777" w:rsidR="00416D9D" w:rsidRPr="00E25D8D" w:rsidRDefault="00416D9D" w:rsidP="00E25D8D">
      <w:pPr>
        <w:pStyle w:val="Titre3"/>
        <w:spacing w:before="240" w:after="240"/>
        <w:rPr>
          <w:rFonts w:ascii="Times New Roman" w:hAnsi="Times New Roman" w:cs="Times New Roman"/>
          <w:sz w:val="20"/>
          <w:szCs w:val="20"/>
        </w:rPr>
      </w:pPr>
      <w:bookmarkStart w:id="0" w:name="_Toc25940487"/>
      <w:r w:rsidRPr="00E25D8D">
        <w:rPr>
          <w:rFonts w:ascii="Times New Roman" w:hAnsi="Times New Roman" w:cs="Times New Roman"/>
          <w:sz w:val="20"/>
          <w:szCs w:val="20"/>
        </w:rPr>
        <w:t>Mixed effects Cox PH model</w:t>
      </w:r>
      <w:bookmarkEnd w:id="0"/>
    </w:p>
    <w:p w14:paraId="622198F0"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hAnsi="Times New Roman" w:cs="Times New Roman"/>
          <w:sz w:val="20"/>
          <w:szCs w:val="20"/>
        </w:rPr>
        <w:t>Studies which use mixed effects survival model</w:t>
      </w:r>
      <w:r w:rsidR="00871097">
        <w:rPr>
          <w:rFonts w:ascii="Times New Roman" w:hAnsi="Times New Roman" w:cs="Times New Roman"/>
          <w:sz w:val="20"/>
          <w:szCs w:val="20"/>
        </w:rPr>
        <w:t>l</w:t>
      </w:r>
      <w:r w:rsidRPr="00E25D8D">
        <w:rPr>
          <w:rFonts w:ascii="Times New Roman" w:hAnsi="Times New Roman" w:cs="Times New Roman"/>
          <w:sz w:val="20"/>
          <w:szCs w:val="20"/>
        </w:rPr>
        <w:t>ing are often medical trials, which study changes in health states. They focus on exploring treatment effects on specific diseases, recurrent infections or disease stages as chronic-degenerative diseases like cancers and Alzheimer. They also explore the association between exogenous factors in the onset of specific health disorders.</w:t>
      </w:r>
    </w:p>
    <w:p w14:paraId="3DF51C95"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hAnsi="Times New Roman" w:cs="Times New Roman"/>
          <w:sz w:val="20"/>
          <w:szCs w:val="20"/>
        </w:rPr>
        <w:t>Changes in health status can be model</w:t>
      </w:r>
      <w:r w:rsidR="00871097">
        <w:rPr>
          <w:rFonts w:ascii="Times New Roman" w:hAnsi="Times New Roman" w:cs="Times New Roman"/>
          <w:sz w:val="20"/>
          <w:szCs w:val="20"/>
        </w:rPr>
        <w:t>l</w:t>
      </w:r>
      <w:r w:rsidRPr="00E25D8D">
        <w:rPr>
          <w:rFonts w:ascii="Times New Roman" w:hAnsi="Times New Roman" w:cs="Times New Roman"/>
          <w:sz w:val="20"/>
          <w:szCs w:val="20"/>
        </w:rPr>
        <w:t xml:space="preserve">ed as repeated event processes. Individuals as patients can therefore experience the event of interest multiple times throughout the period of observation, and the correlation at the individual level (occurrence of events for the same individuals) can be measured by using a hierarchical structure or a shared frailty term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{"citationItems":[{"id":"ITEM-1","itemData":{"author":[{"dropping-particle":"","family":"Crowther","given":"Michael J","non-dropping-particle":"","parse-names":false,"suffix":""}],"id":"ITEM-1","issued":{"date-parts":[["2018"]]},"page":"1-17","title":"Multilevel mixed effects survival analysis : Estimation , simulation and application","type":"article-journal"},"uris":["http://www.mendeley.com/documents/?uuid=ea6d14b0-16c4-4c0d-9e22-15acb4a2d6ca"]}],"mendeley":{"formattedCitation":"&lt;sup&gt;20&lt;/sup&gt;","plainTextFormattedCitation":"20","previouslyFormattedCitation":"&lt;sup&gt;19&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20</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This frailty is then described as the relative risk which individuals in the same group share.</w:t>
      </w:r>
    </w:p>
    <w:p w14:paraId="7F566175"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hAnsi="Times New Roman" w:cs="Times New Roman"/>
          <w:sz w:val="20"/>
          <w:szCs w:val="20"/>
        </w:rPr>
        <w:t xml:space="preserve">In a similar way, health transitions can be correlated at the country level, and therefore, individuals can share unobserved characteristics that distinguish them from others from the very fact of living in another country. Using Mixed Effects </w:t>
      </w:r>
      <w:r w:rsidRPr="00E25D8D">
        <w:rPr>
          <w:rFonts w:ascii="Times New Roman" w:hAnsi="Times New Roman" w:cs="Times New Roman"/>
          <w:sz w:val="20"/>
          <w:szCs w:val="20"/>
        </w:rPr>
        <w:lastRenderedPageBreak/>
        <w:t>Survival Mode</w:t>
      </w:r>
      <w:r w:rsidR="00871097">
        <w:rPr>
          <w:rFonts w:ascii="Times New Roman" w:hAnsi="Times New Roman" w:cs="Times New Roman"/>
          <w:sz w:val="20"/>
          <w:szCs w:val="20"/>
        </w:rPr>
        <w:t>l</w:t>
      </w:r>
      <w:r w:rsidRPr="00E25D8D">
        <w:rPr>
          <w:rFonts w:ascii="Times New Roman" w:hAnsi="Times New Roman" w:cs="Times New Roman"/>
          <w:sz w:val="20"/>
          <w:szCs w:val="20"/>
        </w:rPr>
        <w:t>ling (MESM) with a Cox approach allows us to include this hierarchical structure and even include other kind of grouping as well. In this paper we use the multilevel aspect of this methodology to explore differences between countries according to each one of the interested covariates.</w:t>
      </w:r>
    </w:p>
    <w:p w14:paraId="2FE5C3D6" w14:textId="77777777" w:rsidR="00416D9D" w:rsidRPr="00E25D8D" w:rsidRDefault="00416D9D" w:rsidP="00E25D8D">
      <w:pPr>
        <w:spacing w:before="240" w:line="240" w:lineRule="auto"/>
        <w:ind w:right="-1"/>
        <w:jc w:val="both"/>
        <w:rPr>
          <w:rFonts w:ascii="Times New Roman" w:hAnsi="Times New Roman" w:cs="Times New Roman"/>
          <w:sz w:val="20"/>
          <w:szCs w:val="20"/>
        </w:rPr>
      </w:pPr>
      <w:r w:rsidRPr="00E25D8D">
        <w:rPr>
          <w:rFonts w:ascii="Times New Roman" w:hAnsi="Times New Roman" w:cs="Times New Roman"/>
          <w:sz w:val="20"/>
          <w:szCs w:val="20"/>
        </w:rPr>
        <w:t xml:space="preserve">This kind of model, thus, controls for the existence of hierarchical correspondence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 xml:space="preserve">ADDIN CSL_CITATION {"citationItems":[{"id":"ITEM-1","itemData":{"DOI":"10.1080/08898489509525394","ISBN":"1566-1199","ISSN":"1547724X","PMID":"12290053","abstract":"In this report regioregular poly(3-alkylthiophenes) (P3ATs) (P3HT: poly(3-hexylthiophene, P3OT: poly(3-octylthiophene, P3DDT: poly(3- dodecylthiophene) were studied regarding their optical and electrochemical properties and used as electron donors in polymer solar cells. The optical band gap energy for the three polymers amounts to 1.92 eV. With longer side chain length their electrochemical band gaps are slightly increased, whereas the absorption coefficient undergoes a systematic decrease. The absorption spectra of the pristine P3ATs exhibit a distinctive blue shift of the π-π* interband transition upon mixing with PCBM 1:3 (as prepared films; P3HT: </w:instrText>
      </w:r>
      <w:r w:rsidR="00446BC0">
        <w:rPr>
          <w:rFonts w:ascii="Cambria Math" w:hAnsi="Cambria Math" w:cs="Cambria Math"/>
          <w:sz w:val="20"/>
          <w:szCs w:val="20"/>
        </w:rPr>
        <w:instrText>∼</w:instrText>
      </w:r>
      <w:r w:rsidR="00446BC0">
        <w:rPr>
          <w:rFonts w:ascii="Times New Roman" w:hAnsi="Times New Roman" w:cs="Times New Roman"/>
          <w:sz w:val="20"/>
          <w:szCs w:val="20"/>
        </w:rPr>
        <w:instrText xml:space="preserve">45 nm, P3OT: </w:instrText>
      </w:r>
      <w:r w:rsidR="00446BC0">
        <w:rPr>
          <w:rFonts w:ascii="Cambria Math" w:hAnsi="Cambria Math" w:cs="Cambria Math"/>
          <w:sz w:val="20"/>
          <w:szCs w:val="20"/>
        </w:rPr>
        <w:instrText>∼</w:instrText>
      </w:r>
      <w:r w:rsidR="00446BC0">
        <w:rPr>
          <w:rFonts w:ascii="Times New Roman" w:hAnsi="Times New Roman" w:cs="Times New Roman"/>
          <w:sz w:val="20"/>
          <w:szCs w:val="20"/>
        </w:rPr>
        <w:instrText xml:space="preserve">85 nm, P3DDT: </w:instrText>
      </w:r>
      <w:r w:rsidR="00446BC0">
        <w:rPr>
          <w:rFonts w:ascii="Cambria Math" w:hAnsi="Cambria Math" w:cs="Cambria Math"/>
          <w:sz w:val="20"/>
          <w:szCs w:val="20"/>
        </w:rPr>
        <w:instrText>∼</w:instrText>
      </w:r>
      <w:r w:rsidR="00446BC0">
        <w:rPr>
          <w:rFonts w:ascii="Times New Roman" w:hAnsi="Times New Roman" w:cs="Times New Roman"/>
          <w:sz w:val="20"/>
          <w:szCs w:val="20"/>
        </w:rPr>
        <w:instrText>50 nm). Films based on composites of the three polymers with PCBM ([6, 6]-phenyl-C61-butyric acid methyl ester) show a distinctive photoluminescence quenching effect. At 77 K two types of light-induced electron spin resonance (LESR) signals were identified, one of polaron (P+) on the polymer chain and one of PCBM- radical anion, which detect the photoinduced charge generation and charge transfer in P3AT/PCBM composites. Photovoltaic devices were prepared on flexible PET-ITO foils on ambient conditions using P3HT/PCBM (1:3 wt.%) with η AM1.5 = 1.54%, P3OT/PCBM (1:3 wt.%) with ηAM1.5 = 1.1% and P3DDT/PCBM (1:3 wt.%) with ηAM1.5 = 0.59% (A: 0.25 cm 2, PIN = 100 mW/cm2). The serial and parallel resistance increases within the series P3HT:PCBM &lt; P3OT:PCBM &lt; P3DDT:PCBM cells, therefore the short-circuit current decreases and the open-circuit voltage increases in this order. © 2005 Elsevier B.V. All rights reserved.","author":[{"dropping-particle":"","family":"Yashin","given":"Anatoli I.","non-dropping-particle":"","parse-names":false,"suffix":""},{"dropping-particle":"","family":"Vaupel","given":"James W.","non-dropping-particle":"","parse-names":false,"suffix":""},{"dropping-particle":"","family":"Iachine","given":"Ivan A.","non-dropping-particle":"","parse-names":false,"suffix":""}],"container-title":"Mathematical Population Studies","id":"ITEM-1","issue":"2","issued":{"date-parts":[["1995"]]},"page":"145-159","title":"Correlated individual frailty: An advantageous approach to survival analysis of bivariate data","type":"article-journal","volume":"5"},"uris":["http://www.mendeley.com/documents/?uuid=c1a9543b-e007-4a2d-8259-ea6c300c98cf"]}],"mendeley":{"formattedCitation":"&lt;sup&gt;21&lt;/sup&gt;","plainTextFormattedCitation":"21","previouslyFormattedCitation":"&lt;sup&gt;20&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21</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xml:space="preserve">, or nesting effects, very similar to multilevel modelling. This approach is also considered to be the same as introducing interaction terms between variables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{"citationItems":[{"id":"ITEM-1","itemData":{"DOI":"10.1177/009102609402300304","ISBN":"0091-0260","ISSN":"0091-0260","PMID":"18006196","abstract":"N/A","author":[{"dropping-particle":"","family":"Albright","given":"Jeremy J.","non-dropping-particle":"","parse-names":false,"suffix":""},{"dropping-particle":"","family":"Marinova","given":"Dani M.","non-dropping-particle":"","parse-names":false,"suffix":""}],"collection-title":"IUScholar Works","container-title":"Public Personnel Management","id":"ITEM-1","issue":"3","issued":{"date-parts":[["2010"]]},"page":"397-406","title":"Estimating Multilevel Models using SPSS, Stata, SAS, and R","type":"patent","volume":"23"},"uris":["http://www.mendeley.com/documents/?uuid=59eac9db-e37b-4e60-8aec-9daf2d3cd057"]}],"mendeley":{"formattedCitation":"&lt;sup&gt;22&lt;/sup&gt;","plainTextFormattedCitation":"22","previouslyFormattedCitation":"&lt;sup&gt;21&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22</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xml:space="preserve">. Studies which include random effects in Cox PH have proven to be useful contributions for the description of diverse mechanisms interplaying in the ageing process and life course events in various contexts as countries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 xml:space="preserve">ADDIN CSL_CITATION {"citationItems":[{"id":"ITEM-1","itemData":{"DOI":"10.2307/2061658","ISBN":"00703370","ISSN":"0070-3370","PMID":"9074830","abstract":"In this paper we discuss an approach to the analysis of mortality and longevity limits when survival data on related individuals with and without observed covariates are available. The approach combines the ideas of demography and survival analysis with methods of quantitative genetics and genetic epidemiology. It allows us to analyze the genetic structure of frailty in the Cox-type hazard model with random effects. We demonstrate the implementation of this strategy to survival data on Danish twins. We then evaluate the resulting lower bounds for biological limits of human longevity. Finally, we discuss the limitations of this approach and directions of further research.","author":[{"dropping-particle":"","family":"Yashin","given":"A I","non-dropping-particle":"","parse-names":false,"suffix":""},{"dropping-particle":"","family":"Iachine","given":"I A","non-dropping-particle":"","parse-names":false,"suffix":""}],"container-title":"Demography","id":"ITEM-1","issue":"1","issued":{"date-parts":[["1997"]]},"page":"31-48","title":"How frailty models can be used for evaluating longevity limits: taking advantage of an interdisciplinary approach.","type":"article-journal","volume":"34"},"uris":["http://www.mendeley.com/documents/?uuid=f00191f0-5df8-465d-8efd-71ac6483620b"]},{"id":"ITEM-2","itemData":{"author":[{"dropping-particle":"","family":"Kragh","given":"Per","non-dropping-particle":"","parse-names":false,"suffix":""},{"dropping-particle":"","family":"John","given":"Andersen","non-dropping-particle":"","parse-names":false,"suffix":""},{"dropping-particle":"","family":"Kim","given":"P Klein","non-dropping-particle":"","parse-names":false,"suffix":""}],"id":"ITEM-2","issued":{"date-parts":[["1995"]]},"title":"Estimation of variance in Cox ' s regression model with gamma frailties .","type":"article-journal"},"uris":["http://www.mendeley.com/documents/?uuid=646cb6e2-8594-4cd0-bbaa-f9a9ecb4c56b"]},{"id":"ITEM-3","itemData":{"DOI":"10.1080/08898489509525394","ISBN":"1566-1199","ISSN":"1547724X","PMID":"12290053","abstract":"In this report regioregular poly(3-alkylthiophenes) (P3ATs) (P3HT: poly(3-hexylthiophene, P3OT: poly(3-octylthiophene, P3DDT: poly(3- dodecylthiophene) were studied regarding their optical and electrochemical properties and used as electron donors in polymer solar cells. The optical band gap energy for the three polymers amounts to 1.92 eV. With longer side chain length their electrochemical band gaps are slightly increased, whereas the absorption coefficient undergoes a systematic decrease. The absorption spectra of the pristine P3ATs exhibit a distinctive blue shift of the π-π* interband transition upon mixing with PCBM 1:3 (as prepared films; P3HT: </w:instrText>
      </w:r>
      <w:r w:rsidR="00446BC0">
        <w:rPr>
          <w:rFonts w:ascii="Cambria Math" w:hAnsi="Cambria Math" w:cs="Cambria Math"/>
          <w:sz w:val="20"/>
          <w:szCs w:val="20"/>
        </w:rPr>
        <w:instrText>∼</w:instrText>
      </w:r>
      <w:r w:rsidR="00446BC0">
        <w:rPr>
          <w:rFonts w:ascii="Times New Roman" w:hAnsi="Times New Roman" w:cs="Times New Roman"/>
          <w:sz w:val="20"/>
          <w:szCs w:val="20"/>
        </w:rPr>
        <w:instrText xml:space="preserve">45 nm, P3OT: </w:instrText>
      </w:r>
      <w:r w:rsidR="00446BC0">
        <w:rPr>
          <w:rFonts w:ascii="Cambria Math" w:hAnsi="Cambria Math" w:cs="Cambria Math"/>
          <w:sz w:val="20"/>
          <w:szCs w:val="20"/>
        </w:rPr>
        <w:instrText>∼</w:instrText>
      </w:r>
      <w:r w:rsidR="00446BC0">
        <w:rPr>
          <w:rFonts w:ascii="Times New Roman" w:hAnsi="Times New Roman" w:cs="Times New Roman"/>
          <w:sz w:val="20"/>
          <w:szCs w:val="20"/>
        </w:rPr>
        <w:instrText xml:space="preserve">85 nm, P3DDT: </w:instrText>
      </w:r>
      <w:r w:rsidR="00446BC0">
        <w:rPr>
          <w:rFonts w:ascii="Cambria Math" w:hAnsi="Cambria Math" w:cs="Cambria Math"/>
          <w:sz w:val="20"/>
          <w:szCs w:val="20"/>
        </w:rPr>
        <w:instrText>∼</w:instrText>
      </w:r>
      <w:r w:rsidR="00446BC0">
        <w:rPr>
          <w:rFonts w:ascii="Times New Roman" w:hAnsi="Times New Roman" w:cs="Times New Roman"/>
          <w:sz w:val="20"/>
          <w:szCs w:val="20"/>
        </w:rPr>
        <w:instrText>50 nm). Films based on composites of the three polymers with PCBM ([6, 6]-phenyl-C61-butyric acid methyl ester) show a distinctive photoluminescence quenching effect. At 77 K two types of light-induced electron spin resonance (LESR) signals were identified, one of polaron (P+) on the polymer chain and one of PCBM- radical anion, which detect the photoinduced charge generation and charge transfer in P3AT/PCBM composites. Photovoltaic devices were prepared on flexible PET-ITO foils on ambient conditions using P3HT/PCBM (1:3 wt.%) with η AM1.5 = 1.54%, P3OT/PCBM (1:3 wt.%) with ηAM1.5 = 1.1% and P3DDT/PCBM (1:3 wt.%) with ηAM1.5 = 0.59% (A: 0.25 cm 2, PIN = 100 mW/cm2). The serial and parallel resistance increases within the series P3HT:PCBM &lt; P3OT:PCBM &lt; P3DDT:PCBM cells, therefore the short-circuit current decreases and the open-circuit voltage increases in this order. © 2005 Elsevier B.V. All rights reserved.","author":[{"dropping-particle":"","family":"Yashin","given":"Anatoli I.","non-dropping-particle":"","parse-names":false,"suffix":""},{"dropping-particle":"","family":"Vaupel","given":"James W.","non-dropping-particle":"","parse-names":false,"suffix":""},{"dropping-particle":"","family":"Iachine","given":"Ivan A.","non-dropping-particle":"","parse-names":false,"suffix":""}],"container-title":"Mathematical Population Studies","id":"ITEM-3","issue":"2","issued":{"date-parts":[["1995"]]},"page":"145-159","title":"Correlated individual frailty: An advantageous approach to survival analysis of bivariate data","type":"article-journal","volume":"5"},"uris":["http://www.mendeley.com/documents/?uuid=c1a9543b-e007-4a2d-8259-ea6c300c98cf"]}],"mendeley":{"formattedCitation":"&lt;sup&gt;21,23,24&lt;/sup&gt;","plainTextFormattedCitation":"21,23,24","previouslyFormattedCitation":"&lt;sup&gt;20,22,23&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21,23,24</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xml:space="preserve">. </w:t>
      </w:r>
    </w:p>
    <w:p w14:paraId="1C96A5D0" w14:textId="77777777" w:rsidR="00416D9D" w:rsidRPr="00731921" w:rsidRDefault="00416D9D" w:rsidP="00E25D8D">
      <w:pPr>
        <w:spacing w:before="240" w:after="240" w:line="240" w:lineRule="auto"/>
        <w:jc w:val="both"/>
        <w:rPr>
          <w:rFonts w:ascii="Times New Roman" w:hAnsi="Times New Roman" w:cs="Times New Roman"/>
        </w:rPr>
      </w:pPr>
      <w:r w:rsidRPr="00E25D8D">
        <w:rPr>
          <w:rFonts w:ascii="Times New Roman" w:hAnsi="Times New Roman" w:cs="Times New Roman"/>
          <w:sz w:val="20"/>
          <w:szCs w:val="20"/>
        </w:rPr>
        <w:t>To apply multilevel model</w:t>
      </w:r>
      <w:r w:rsidR="0016271E">
        <w:rPr>
          <w:rFonts w:ascii="Times New Roman" w:hAnsi="Times New Roman" w:cs="Times New Roman"/>
          <w:sz w:val="20"/>
          <w:szCs w:val="20"/>
        </w:rPr>
        <w:t>l</w:t>
      </w:r>
      <w:r w:rsidRPr="00E25D8D">
        <w:rPr>
          <w:rFonts w:ascii="Times New Roman" w:hAnsi="Times New Roman" w:cs="Times New Roman"/>
          <w:sz w:val="20"/>
          <w:szCs w:val="20"/>
        </w:rPr>
        <w:t>ing to Cox PH model we use the recent version of the R package “</w:t>
      </w:r>
      <w:proofErr w:type="spellStart"/>
      <w:r w:rsidRPr="00E25D8D">
        <w:rPr>
          <w:rFonts w:ascii="Times New Roman" w:hAnsi="Times New Roman" w:cs="Times New Roman"/>
          <w:sz w:val="20"/>
          <w:szCs w:val="20"/>
        </w:rPr>
        <w:t>coxME</w:t>
      </w:r>
      <w:proofErr w:type="spellEnd"/>
      <w:r w:rsidRPr="00E25D8D">
        <w:rPr>
          <w:rFonts w:ascii="Times New Roman" w:hAnsi="Times New Roman" w:cs="Times New Roman"/>
          <w:sz w:val="20"/>
          <w:szCs w:val="20"/>
        </w:rPr>
        <w:t xml:space="preserve">” developed by </w:t>
      </w:r>
      <w:proofErr w:type="spellStart"/>
      <w:r w:rsidRPr="00E25D8D">
        <w:rPr>
          <w:rFonts w:ascii="Times New Roman" w:hAnsi="Times New Roman" w:cs="Times New Roman"/>
          <w:sz w:val="20"/>
          <w:szCs w:val="20"/>
        </w:rPr>
        <w:t>Therneau</w:t>
      </w:r>
      <w:proofErr w:type="spellEnd"/>
      <w:r w:rsidRPr="00E25D8D">
        <w:rPr>
          <w:rFonts w:ascii="Times New Roman" w:hAnsi="Times New Roman" w:cs="Times New Roman"/>
          <w:sz w:val="20"/>
          <w:szCs w:val="20"/>
        </w:rPr>
        <w:t xml:space="preserve">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{"citationItems":[{"id":"ITEM-1","itemData":{"author":[{"dropping-particle":"","family":"Therneau","given":"Terry","non-dropping-particle":"","parse-names":false,"suffix":""}],"id":"ITEM-1","issued":{"date-parts":[["2018"]]},"number":"2.2-10","title":"Package ‘ coxme ’","type":"article"},"uris":["http://www.mendeley.com/documents/?uuid=97d2e0a7-623b-4f39-82c3-429f94191af4"]}],"mendeley":{"formattedCitation":"&lt;sup&gt;25&lt;/sup&gt;","plainTextFormattedCitation":"25","previouslyFormattedCitation":"&lt;sup&gt;24&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25</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This method fits a Cox PH model with a Gaussian frailty distribution. He showed that there</w:t>
      </w:r>
      <w:r w:rsidRPr="00E25D8D">
        <w:rPr>
          <w:rFonts w:ascii="Times New Roman" w:eastAsiaTheme="minorEastAsia" w:hAnsi="Times New Roman" w:cs="Times New Roman"/>
          <w:iCs/>
          <w:sz w:val="20"/>
          <w:szCs w:val="20"/>
        </w:rPr>
        <w:t xml:space="preserve"> is no closed formula to estimate variances. However, the key requisite is to have enough cases that contribute to each random effect, which our data set has. In this sense, we fit the following Cox PH model with mixed effects. Following </w:t>
      </w:r>
      <w:proofErr w:type="spellStart"/>
      <w:r w:rsidRPr="00E25D8D">
        <w:rPr>
          <w:rFonts w:ascii="Times New Roman" w:hAnsi="Times New Roman" w:cs="Times New Roman"/>
          <w:sz w:val="20"/>
          <w:szCs w:val="20"/>
        </w:rPr>
        <w:t>Therneau</w:t>
      </w:r>
      <w:proofErr w:type="spellEnd"/>
      <w:r w:rsidRPr="00E25D8D">
        <w:rPr>
          <w:rFonts w:ascii="Times New Roman" w:hAnsi="Times New Roman" w:cs="Times New Roman"/>
          <w:sz w:val="20"/>
          <w:szCs w:val="20"/>
        </w:rPr>
        <w:t xml:space="preserve">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{"citationItems":[{"id":"ITEM-1","itemData":{"author":[{"dropping-particle":"","family":"Therneau","given":"Terry","non-dropping-particle":"","parse-names":false,"suffix":""}],"id":"ITEM-1","issued":{"date-parts":[["2018"]]},"number":"2.2-10","title":"Package ‘ coxme ’","type":"article"},"uris":["http://www.mendeley.com/documents/?uuid=97d2e0a7-623b-4f39-82c3-429f94191af4"]}],"mendeley":{"formattedCitation":"&lt;sup&gt;25&lt;/sup&gt;","plainTextFormattedCitation":"25","previouslyFormattedCitation":"&lt;sup&gt;24&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25</w:t>
      </w:r>
      <w:r w:rsidRPr="00E25D8D">
        <w:rPr>
          <w:rFonts w:ascii="Times New Roman" w:hAnsi="Times New Roman" w:cs="Times New Roman"/>
          <w:sz w:val="20"/>
          <w:szCs w:val="20"/>
        </w:rPr>
        <w:fldChar w:fldCharType="end"/>
      </w:r>
      <w:r w:rsidRPr="00731921">
        <w:rPr>
          <w:rFonts w:ascii="Times New Roman" w:eastAsiaTheme="minorEastAsia" w:hAnsi="Times New Roman" w:cs="Times New Roman"/>
          <w:iCs/>
        </w:rPr>
        <w:t>:</w:t>
      </w:r>
    </w:p>
    <w:p w14:paraId="5A63D176" w14:textId="77777777" w:rsidR="00416D9D" w:rsidRPr="00731921" w:rsidRDefault="00416D9D" w:rsidP="00416D9D">
      <w:pPr>
        <w:spacing w:before="240" w:after="240" w:line="480" w:lineRule="auto"/>
        <w:ind w:firstLine="567"/>
        <w:jc w:val="both"/>
        <w:rPr>
          <w:rFonts w:ascii="Times New Roman" w:eastAsiaTheme="minorEastAsia" w:hAnsi="Times New Roman" w:cs="Times New Roman"/>
        </w:rPr>
      </w:pPr>
      <m:oMathPara>
        <m:oMath>
          <m:r>
            <w:rPr>
              <w:rFonts w:ascii="Cambria Math" w:hAnsi="Cambria Math" w:cs="Times New Roman"/>
            </w:rPr>
            <m:t>λ</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t</m:t>
              </m:r>
            </m:e>
          </m:d>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 xml:space="preserve">Xβ+Zb </m:t>
              </m:r>
            </m:sup>
          </m:sSup>
        </m:oMath>
      </m:oMathPara>
    </w:p>
    <w:p w14:paraId="42677ED9" w14:textId="77777777" w:rsidR="00416D9D" w:rsidRPr="00731921" w:rsidRDefault="00416D9D" w:rsidP="00416D9D">
      <w:pPr>
        <w:spacing w:before="240" w:after="240" w:line="480" w:lineRule="auto"/>
        <w:ind w:firstLine="567"/>
        <w:jc w:val="both"/>
        <w:rPr>
          <w:rFonts w:ascii="Times New Roman" w:eastAsiaTheme="minorEastAsia" w:hAnsi="Times New Roman" w:cs="Times New Roman"/>
        </w:rPr>
      </w:pPr>
      <m:oMathPara>
        <m:oMath>
          <m:r>
            <w:rPr>
              <w:rFonts w:ascii="Cambria Math" w:hAnsi="Cambria Math" w:cs="Times New Roman"/>
            </w:rPr>
            <m:t>b ~G</m:t>
          </m:r>
          <m:d>
            <m:dPr>
              <m:ctrlPr>
                <w:rPr>
                  <w:rFonts w:ascii="Cambria Math" w:hAnsi="Cambria Math" w:cs="Times New Roman"/>
                  <w:i/>
                </w:rPr>
              </m:ctrlPr>
            </m:dPr>
            <m:e>
              <m:r>
                <w:rPr>
                  <w:rFonts w:ascii="Cambria Math" w:hAnsi="Cambria Math" w:cs="Times New Roman"/>
                </w:rPr>
                <m:t>0,⅀(</m:t>
              </m:r>
              <m:r>
                <m:rPr>
                  <m:sty m:val="p"/>
                </m:rPr>
                <w:rPr>
                  <w:rFonts w:ascii="Cambria Math" w:hAnsi="Cambria Math" w:cs="Times New Roman"/>
                </w:rPr>
                <m:t>θ</m:t>
              </m:r>
              <m:r>
                <w:rPr>
                  <w:rFonts w:ascii="Cambria Math" w:hAnsi="Cambria Math" w:cs="Times New Roman"/>
                </w:rPr>
                <m:t>)</m:t>
              </m:r>
            </m:e>
          </m:d>
        </m:oMath>
      </m:oMathPara>
    </w:p>
    <w:p w14:paraId="177A22A7" w14:textId="77777777" w:rsidR="00416D9D" w:rsidRPr="00E25D8D" w:rsidRDefault="00416D9D" w:rsidP="00E25D8D">
      <w:pPr>
        <w:spacing w:before="240" w:after="240" w:line="240" w:lineRule="auto"/>
        <w:ind w:firstLine="567"/>
        <w:jc w:val="both"/>
        <w:rPr>
          <w:rFonts w:ascii="Times New Roman" w:hAnsi="Times New Roman" w:cs="Times New Roman"/>
          <w:sz w:val="20"/>
          <w:szCs w:val="20"/>
        </w:rPr>
      </w:pPr>
      <w:r w:rsidRPr="00E25D8D">
        <w:rPr>
          <w:rFonts w:ascii="Times New Roman" w:hAnsi="Times New Roman" w:cs="Times New Roman"/>
          <w:sz w:val="20"/>
          <w:szCs w:val="20"/>
        </w:rPr>
        <w:t>“…where λ</w:t>
      </w:r>
      <w:r w:rsidRPr="00E25D8D">
        <w:rPr>
          <w:rFonts w:ascii="Times New Roman" w:hAnsi="Times New Roman" w:cs="Times New Roman"/>
          <w:sz w:val="20"/>
          <w:szCs w:val="20"/>
          <w:vertAlign w:val="subscript"/>
        </w:rPr>
        <w:t>0</w:t>
      </w:r>
      <w:r w:rsidRPr="00E25D8D">
        <w:rPr>
          <w:rFonts w:ascii="Times New Roman" w:hAnsi="Times New Roman" w:cs="Times New Roman"/>
          <w:sz w:val="20"/>
          <w:szCs w:val="20"/>
        </w:rPr>
        <w:t xml:space="preserve"> is an unspecified baseline hazard function, X and Z are the design matrices for the fixed and random effects, respectively, β is the vector of fixed-effects coefficients and b is the vector of random effects coefficients. The random effects distribution G is model</w:t>
      </w:r>
      <w:r w:rsidR="00871097">
        <w:rPr>
          <w:rFonts w:ascii="Times New Roman" w:hAnsi="Times New Roman" w:cs="Times New Roman"/>
          <w:sz w:val="20"/>
          <w:szCs w:val="20"/>
        </w:rPr>
        <w:t>l</w:t>
      </w:r>
      <w:r w:rsidRPr="00E25D8D">
        <w:rPr>
          <w:rFonts w:ascii="Times New Roman" w:hAnsi="Times New Roman" w:cs="Times New Roman"/>
          <w:sz w:val="20"/>
          <w:szCs w:val="20"/>
        </w:rPr>
        <w:t>ed as Gaussian with mean zero and a variance matrix Σ, which in turn depends on a vector of parameters θ”. Therefore, frailty assumed as “</w:t>
      </w:r>
      <w:r w:rsidRPr="00E25D8D">
        <w:rPr>
          <w:rFonts w:ascii="Times New Roman" w:hAnsi="Times New Roman" w:cs="Times New Roman"/>
          <w:i/>
          <w:sz w:val="20"/>
          <w:szCs w:val="20"/>
        </w:rPr>
        <w:t>random effects”,</w:t>
      </w:r>
      <w:r w:rsidRPr="00E25D8D">
        <w:rPr>
          <w:rFonts w:ascii="Times New Roman" w:hAnsi="Times New Roman" w:cs="Times New Roman"/>
          <w:sz w:val="20"/>
          <w:szCs w:val="20"/>
        </w:rPr>
        <w:t xml:space="preserve"> is measured by the variance component as it has been shown by other studies on life span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{"citationItems":[{"id":"ITEM-1","itemData":{"DOI":"10.1016/0040-5809(85)90008-5","ISBN":"0040-5809","ISSN":"10960325","PMID":"4023952","abstract":"Various multivariate stochastic process models have been developed to represent human physiological aging and mortality. These efforts are extended by considering the effects of observed and unobserved state variables on the age trajectory of physiological parameters. This is done by deriving the Kolmogorov-Fokker-Planck equations describing the distribution of the unobserved state variables conditional on the history of the observed state variables. Given some assumptions, it is proved that the distribution is Gaussian. Strategies for estimating the parameters of the distribution are suggested based on an extension of the theory of Kalman filters to include systematic mortality selection. Various empirical applications of the model to studies of human aging and mortality as well as to other types of \"failure\" processes in heterogeneous populations are discussed. © 1985.","author":[{"dropping-particle":"","family":"Yashin","given":"Anatoli I.","non-dropping-particle":"","parse-names":false,"suffix":""},{"dropping-particle":"","family":"Manton","given":"Kenneth G.","non-dropping-particle":"","parse-names":false,"suffix":""},{"dropping-particle":"","family":"Vaupel","given":"James W.","non-dropping-particle":"","parse-names":false,"suffix":""}],"container-title":"Theoretical Population Biology","id":"ITEM-1","issue":"2","issued":{"date-parts":[["1985"]]},"page":"154-175","title":"Mortality and aging in a heterogeneous population: A stochastic process model with observed and unobserved variables","type":"article-journal","volume":"27"},"uris":["http://www.mendeley.com/documents/?uuid=7385e54b-e655-4882-b256-b0f0597170ac"]},{"id":"ITEM-2","itemData":{"DOI":"10.2307/2061658","ISBN":"00703370","ISSN":"0070-3370","PMID":"9074830","abstract":"In this paper we discuss an approach to the analysis of mortality and longevity limits when survival data on related individuals with and without observed covariates are available. The approach combines the ideas of demography and survival analysis with methods of quantitative genetics and genetic epidemiology. It allows us to analyze the genetic structure of frailty in the Cox-type hazard model with random effects. We demonstrate the implementation of this strategy to survival data on Danish twins. We then evaluate the resulting lower bounds for biological limits of human longevity. Finally, we discuss the limitations of this approach and directions of further research.","author":[{"dropping-particle":"","family":"Yashin","given":"A I","non-dropping-particle":"","parse-names":false,"suffix":""},{"dropping-particle":"","family":"Iachine","given":"I A","non-dropping-particle":"","parse-names":false,"suffix":""}],"container-title":"Demography","id":"ITEM-2","issue":"1","issued":{"date-parts":[["1997"]]},"page":"31-48","title":"How frailty models can be used for evaluating longevity limits: taking advantage of an interdisciplinary approach.","type":"article-journal","volume":"34"},"uris":["http://www.mendeley.com/documents/?uuid=f00191f0-5df8-465d-8efd-71ac6483620b"]},{"id":"ITEM-3","itemData":{"ISBN":"3704500542","author":[{"dropping-particle":"","family":"Vaupel","given":"James W","non-dropping-particle":"","parse-names":false,"suffix":""},{"dropping-particle":"","family":"Yashin","given":"Anatoli I","non-dropping-particle":"","parse-names":false,"suffix":""}],"id":"ITEM-3","issue":"January","issued":{"date-parts":[["1983"]]},"title":"the Deviant Dynamics of Death in Heterogeneous Populations Rr-83-1","type":"book"},"uris":["http://www.mendeley.com/documents/?uuid=a8c76e8d-62b0-47d4-ab73-cdea580a7291"]},{"id":"ITEM-4","itemData":{"DOI":"10.1080/0032472031000141896","ISBN":"0032-4728 (Print)\r0032-4728","ISSN":"14774747","PMID":"11611920","abstract":"Old-age survival has increased substantially since 1950. Death rates decelerate with age for insects, worms, and yeast, as well as humans. This evidence of extended postreproductive survival is puzzling. Three biodemographic insights--concerning the correlation of death rates across age, individual differences in survival chances, and induced alterations in age patterns of fertility and mortality--offer clues and suggest research on the failure of complicated systems, on new demographic equations for evolutionary theory, and on fertility-longevity interactions. Nongenetic changes account for increases in human life-spans to date. Explication of these causes and the genetic license for extended survival, as well as discovery of genes and other survival attributes affecting longevity, will lead to even longer lives.","author":[{"dropping-particle":"","family":"Vaupel","given":"J. W.","non-dropping-particle":"","parse-names":false,"suffix":""}],"container-title":"Population Studies","id":"ITEM-4","issue":"1","issued":{"date-parts":[["1986"]]},"page":"147-157","title":"How change in age-specific mortality affects life expectancy*","type":"article-journal","volume":"40"},"uris":["http://www.mendeley.com/documents/?uuid=b25051db-a98d-4eca-9e33-c85244df23a2"]},{"id":"ITEM-5","itemData":{"DOI":"10.2307/2061224","ISBN":"00703370","ISSN":"00703370","PMID":"510638","abstract":"Life table methods are developed for populations whose members differ in their endowment for longevity. Unlike standard methods, which ignore such heterogeneity, these methods use different calculations to construct cohort, period, and individual life tables. The results imply that standard methods overestimate current life expectancy and potential gains in life expectancy from health and safety interventions, while underestimating rates of individual aging, past progress in reducing mortality, and mortality differentials between pairs of populations. Calculations based on Swedish mortality data suggest that these errors may be important, especially in old age.","author":[{"dropping-particle":"","family":"Vaupel","given":"James W.","non-dropping-particle":"","parse-names":false,"suffix":""},{"dropping-particle":"","family":"Manton","given":"Kenneth G.","non-dropping-particle":"","parse-names":false,"suffix":""},{"dropping-particle":"","family":"Stallard","given":"Eric","non-dropping-particle":"","parse-names":false,"suffix":""}],"container-title":"Demography","id":"ITEM-5","issue":"3","issued":{"date-parts":[["1979"]]},"page":"439","title":"The Impact of Heterogeneity in Individual Frailty on the Dynamics of Mortality","type":"article-journal","volume":"16"},"uris":["http://www.mendeley.com/documents/?uuid=5712d8f5-f4ea-4a98-b683-f4b713c1044b"]}],"mendeley":{"formattedCitation":"&lt;sup&gt;23,26–29&lt;/sup&gt;","plainTextFormattedCitation":"23,26–29","previouslyFormattedCitation":"&lt;sup&gt;22,25–28&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23,26–29</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Cox PH with mixed effects allows us to account for the shared frailty by all subjects within the same groups. Through the variance or the standard deviation, it is possible to observe the variability (increase or decrease) of hazards between groups, by considering the average event occurrence (hazard) for a reference subject. The exponential of the standard deviation provided by the model illustrates the excess risk that certain groups have (lower or higher) over the mean hazard of the sample. Random effects are represented by standard deviation equal the average relative risks associated with group or cluster membership, which are the diff</w:t>
      </w:r>
      <w:r w:rsidR="00871097">
        <w:rPr>
          <w:rFonts w:ascii="Times New Roman" w:hAnsi="Times New Roman" w:cs="Times New Roman"/>
          <w:sz w:val="20"/>
          <w:szCs w:val="20"/>
        </w:rPr>
        <w:t>erent hierarchical levels analys</w:t>
      </w:r>
      <w:r w:rsidRPr="00E25D8D">
        <w:rPr>
          <w:rFonts w:ascii="Times New Roman" w:hAnsi="Times New Roman" w:cs="Times New Roman"/>
          <w:sz w:val="20"/>
          <w:szCs w:val="20"/>
        </w:rPr>
        <w:t xml:space="preserve">ed. Excess risk usually range from 1.1 (exp 0.1) to 1.3 (exp 0.3), while values greater than 2 are very rare (for further explanation see </w:t>
      </w:r>
      <w:proofErr w:type="spellStart"/>
      <w:r w:rsidRPr="00E25D8D">
        <w:rPr>
          <w:rFonts w:ascii="Times New Roman" w:hAnsi="Times New Roman" w:cs="Times New Roman"/>
          <w:sz w:val="20"/>
          <w:szCs w:val="20"/>
        </w:rPr>
        <w:t>Therneau</w:t>
      </w:r>
      <w:proofErr w:type="spellEnd"/>
      <w:r w:rsidRPr="00E25D8D">
        <w:rPr>
          <w:rFonts w:ascii="Times New Roman" w:hAnsi="Times New Roman" w:cs="Times New Roman"/>
          <w:sz w:val="20"/>
          <w:szCs w:val="20"/>
        </w:rPr>
        <w:t xml:space="preserve">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{"citationItems":[{"id":"ITEM-1","itemData":{"DOI":"10.1111/oik.01149","ISBN":"232.11221.53","ISSN":"1600-0706","abstract":"(2012). ..","author":[{"dropping-particle":"","family":"Therneau","given":"Terry","non-dropping-particle":"","parse-names":false,"suffix":""}],"id":"ITEM-1","issued":{"date-parts":[["2018"]]},"page":"1-14","title":"Mixed Effects Cox Models","type":"article"},"uris":["http://www.mendeley.com/documents/?uuid=ae2d3f50-f14f-4ecf-bcfe-5c23798007a0"]},{"id":"ITEM-2","itemData":{"author":[{"dropping-particle":"","family":"Therneau","given":"Terry","non-dropping-particle":"","parse-names":false,"suffix":""}],"id":"ITEM-2","issued":{"date-parts":[["2018"]]},"page":"1-14","title":"Coxme and the Laplace Approximation","type":"article-journal"},"uris":["http://www.mendeley.com/documents/?uuid=526307c7-3850-4c97-87e1-2b73c0654e73"]},{"id":"ITEM-3","itemData":{"author":[{"dropping-particle":"","family":"Therneau","given":"Terry","non-dropping-particle":"","parse-names":false,"suffix":""}],"id":"ITEM-3","issued":{"date-parts":[["2018"]]},"number":"2.2-10","title":"Package ‘ coxme ’","type":"article"},"uris":["http://www.mendeley.com/documents/?uuid=97d2e0a7-623b-4f39-82c3-429f94191af4"]}],"mendeley":{"formattedCitation":"&lt;sup&gt;25,30,31&lt;/sup&gt;","plainTextFormattedCitation":"25,30,31","previouslyFormattedCitation":"&lt;sup&gt;24,29,30&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25,30,31</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w:t>
      </w:r>
    </w:p>
    <w:p w14:paraId="43900FA6"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hAnsi="Times New Roman" w:cs="Times New Roman"/>
          <w:sz w:val="20"/>
          <w:szCs w:val="20"/>
        </w:rPr>
        <w:t xml:space="preserve">A Cox model with only fixed effects (simplest conditional model) and a Cox model with mixed effects are interpreted in different ways. Regression coefficients from a conditional model denote the main change in the event occurrence produced by changing status of the explanatory variables, keeping all else constant. The error-term indicates the combined effects of all excluded variables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{"citationItems":[{"id":"ITEM-1","itemData":{"DOI":"10.1198/tas.2006.s56","ISBN":"9781597180405","ISSN":"0003-1305","PMID":"24504218","abstract":"This text is a Stata-specific treatment of generalized linear mixed models, also known as multilevel or hierarchical models. These models are \"mixed\" in the sense that they allow fixed and random effects and are \"generalized\" in the sense that they are appropriate not only for continuous Gaussian responses but also for binary, count, and other types of limited dependent variables.","author":[{"dropping-particle":"","family":"Rabe-Hesketh","given":"Sophia","non-dropping-particle":"","parse-names":false,"suffix":""}],"container-title":"The American Statistician","id":"ITEM-1","issued":{"date-parts":[["2012"]]},"title":"Multilevel and Longitudinal Modeling Using Stata","type":"book"},"uris":["http://www.mendeley.com/documents/?uuid=88ccd07c-1cf1-479b-aba5-2a572937c03a"]}],"mendeley":{"formattedCitation":"&lt;sup&gt;32&lt;/sup&gt;","plainTextFormattedCitation":"32","previouslyFormattedCitation":"&lt;sup&gt;31&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32</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xml:space="preserve">. Regression coefficients in the latter model denotes the effect of explanatory variables on the hazards, conditional on both fixed and constant random effects and the other covariates being fixed. Therefore, coefficients are sometimes described as having a cluster-specific interpretation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{"citationItems":[{"id":"ITEM-1","itemData":{"DOI":"10.1002/sim.6191","ISBN":"1097-0258","ISSN":"10970258","PMID":"24789760","abstract":"Multilevel mixed effects survival models are used in the analysis of clustered survival data, such as repeated events, multicenter clinical trials, and individual participant data (IPD) meta-analyses, to investigate heterogeneity in baseline risk and covariate effects. In this paper, we extend parametric frailty models including the exponential, Weibull and Gompertz proportional hazards (PH) models and the log logistic, log normal, and generalized gamma accelerated failure time models to allow any number of normally distributed random effects. Furthermore, we extend the flexible parametric survival model of Royston and Parmar, modeled on the log-cumulative hazard scale using restricted cubic splines, to include random effects while also allowing for non-PH (time-dependent effects). Maximum likelihood is used to estimate the models utilizing adaptive or nonadaptive Gauss–Hermite quadrature. The methods are evaluated through simulation studies representing clinically plausible scenarios of a multicenter trial and IPD meta-analysis, showing good performance of the estimation method. The flexible parametric mixed effects model is illustrated using a dataset of patients with kidney disease and repeated times to infection and an IPD meta-analysis of prognostic factor studies in patients with breast cancer. User-friendly Stata software is provided to implement the methods. Copyright © 2014 John Wiley &amp; Sons, Ltd.","author":[{"dropping-particle":"","family":"Crowther","given":"Michael J.","non-dropping-particle":"","parse-names":false,"suffix":""},{"dropping-particle":"","family":"Look","given":"Maxime P.","non-dropping-particle":"","parse-names":false,"suffix":""},{"dropping-particle":"","family":"Riley","given":"Richard D.","non-dropping-particle":"","parse-names":false,"suffix":""}],"container-title":"Statistics in Medicine","id":"ITEM-1","issue":"22","issued":{"date-parts":[["2014"]]},"page":"3844-3858","title":"Multilevel mixed effects parametric survival models using adaptive Gauss-Hermite quadrature with application to recurrent events and individual participant data meta-analysis","type":"article-journal","volume":"33"},"uris":["http://www.mendeley.com/documents/?uuid=40058da2-24d4-4f59-85db-930be809f85e"]}],"mendeley":{"formattedCitation":"&lt;sup&gt;18&lt;/sup&gt;","plainTextFormattedCitation":"18","previouslyFormattedCitation":"&lt;sup&gt;17&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18</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w:t>
      </w:r>
    </w:p>
    <w:p w14:paraId="08B528E0"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hAnsi="Times New Roman" w:cs="Times New Roman"/>
          <w:sz w:val="20"/>
          <w:szCs w:val="20"/>
        </w:rPr>
        <w:t xml:space="preserve">Lastly, it is important to highlight some issues related to the population size and cluster-specific event counts. For the living arrangements variable, there were not enough events in the category of “living alone” for transition type “unhealthy to death”. For that reason, random effect estimations in this transition type are not shown. </w:t>
      </w:r>
      <w:bookmarkStart w:id="1" w:name="_Toc25940488"/>
    </w:p>
    <w:p w14:paraId="28EDDD7D" w14:textId="77777777" w:rsidR="00416D9D" w:rsidRPr="00E25D8D" w:rsidRDefault="00416D9D" w:rsidP="00E25D8D">
      <w:pPr>
        <w:pStyle w:val="Titre3"/>
        <w:spacing w:before="240" w:after="240"/>
        <w:rPr>
          <w:rFonts w:ascii="Times New Roman" w:hAnsi="Times New Roman" w:cs="Times New Roman"/>
          <w:sz w:val="20"/>
          <w:szCs w:val="20"/>
        </w:rPr>
      </w:pPr>
      <w:r w:rsidRPr="00E25D8D">
        <w:rPr>
          <w:rFonts w:ascii="Times New Roman" w:hAnsi="Times New Roman" w:cs="Times New Roman"/>
          <w:sz w:val="20"/>
          <w:szCs w:val="20"/>
        </w:rPr>
        <w:t>Random intercepts and random slopes as a tool for studying country effects</w:t>
      </w:r>
      <w:bookmarkEnd w:id="1"/>
    </w:p>
    <w:p w14:paraId="4856BC28"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hAnsi="Times New Roman" w:cs="Times New Roman"/>
          <w:sz w:val="20"/>
          <w:szCs w:val="20"/>
        </w:rPr>
        <w:t>In this study we also take advantage of multilevel model</w:t>
      </w:r>
      <w:r w:rsidR="00871097">
        <w:rPr>
          <w:rFonts w:ascii="Times New Roman" w:hAnsi="Times New Roman" w:cs="Times New Roman"/>
          <w:sz w:val="20"/>
          <w:szCs w:val="20"/>
        </w:rPr>
        <w:t>l</w:t>
      </w:r>
      <w:r w:rsidRPr="00E25D8D">
        <w:rPr>
          <w:rFonts w:ascii="Times New Roman" w:hAnsi="Times New Roman" w:cs="Times New Roman"/>
          <w:sz w:val="20"/>
          <w:szCs w:val="20"/>
        </w:rPr>
        <w:t>ing as a tool to explore different dimensions of the country effect by adding levels of hierarchy between country variable at highest level and then, adding each covariate (sex, cohort, educational level and living arrangements at lowest level.  This additional dimension of the country e</w:t>
      </w:r>
      <w:r w:rsidR="00871097">
        <w:rPr>
          <w:rFonts w:ascii="Times New Roman" w:hAnsi="Times New Roman" w:cs="Times New Roman"/>
          <w:sz w:val="20"/>
          <w:szCs w:val="20"/>
        </w:rPr>
        <w:t>ffect can be explored by analys</w:t>
      </w:r>
      <w:r w:rsidRPr="00E25D8D">
        <w:rPr>
          <w:rFonts w:ascii="Times New Roman" w:hAnsi="Times New Roman" w:cs="Times New Roman"/>
          <w:sz w:val="20"/>
          <w:szCs w:val="20"/>
        </w:rPr>
        <w:t xml:space="preserve">ing the </w:t>
      </w:r>
      <w:r w:rsidR="00871097">
        <w:rPr>
          <w:rFonts w:ascii="Times New Roman" w:hAnsi="Times New Roman" w:cs="Times New Roman"/>
          <w:sz w:val="20"/>
          <w:szCs w:val="20"/>
        </w:rPr>
        <w:t>random intercept and</w:t>
      </w:r>
      <w:r w:rsidRPr="00E25D8D">
        <w:rPr>
          <w:rFonts w:ascii="Times New Roman" w:hAnsi="Times New Roman" w:cs="Times New Roman"/>
          <w:sz w:val="20"/>
          <w:szCs w:val="20"/>
        </w:rPr>
        <w:t xml:space="preserve"> random slopes of these interactions. </w:t>
      </w:r>
    </w:p>
    <w:p w14:paraId="427D29C4" w14:textId="77777777" w:rsidR="00416D9D" w:rsidRPr="005512E0" w:rsidRDefault="00416D9D" w:rsidP="00E25D8D">
      <w:pPr>
        <w:pStyle w:val="Titre2"/>
        <w:spacing w:before="240" w:after="240" w:line="240" w:lineRule="auto"/>
        <w:rPr>
          <w:rFonts w:ascii="Times New Roman" w:hAnsi="Times New Roman"/>
          <w:color w:val="auto"/>
          <w:sz w:val="20"/>
          <w:szCs w:val="20"/>
          <w:lang w:val="en-US"/>
        </w:rPr>
      </w:pPr>
      <w:bookmarkStart w:id="2" w:name="_Toc25224766"/>
      <w:bookmarkStart w:id="3" w:name="_Toc25940492"/>
      <w:r w:rsidRPr="005512E0">
        <w:rPr>
          <w:rFonts w:ascii="Times New Roman" w:hAnsi="Times New Roman"/>
          <w:color w:val="auto"/>
          <w:sz w:val="20"/>
          <w:szCs w:val="20"/>
          <w:lang w:val="en-US"/>
        </w:rPr>
        <w:t>Model 3. Random effects between countries (1 level)</w:t>
      </w:r>
      <w:bookmarkEnd w:id="2"/>
      <w:bookmarkEnd w:id="3"/>
    </w:p>
    <w:p w14:paraId="56B818DF"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hAnsi="Times New Roman" w:cs="Times New Roman"/>
          <w:sz w:val="20"/>
          <w:szCs w:val="20"/>
        </w:rPr>
        <w:t>The country effect, equal to a random intercept coefficient in the model for the 19 countries observed takes the form:</w:t>
      </w:r>
    </w:p>
    <w:p w14:paraId="6F9F0697" w14:textId="77777777" w:rsidR="00416D9D" w:rsidRPr="000B7C8C" w:rsidRDefault="00000000" w:rsidP="00416D9D">
      <w:pPr>
        <w:spacing w:before="240" w:after="240" w:line="48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i,j</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t</m:t>
              </m:r>
            </m:e>
          </m:d>
          <m:sSup>
            <m:sSupPr>
              <m:ctrlPr>
                <w:rPr>
                  <w:rFonts w:ascii="Cambria Math" w:hAnsi="Cambria Math" w:cs="Times New Roman"/>
                  <w:i/>
                </w:rPr>
              </m:ctrlPr>
            </m:sSupPr>
            <m:e>
              <m:r>
                <w:rPr>
                  <w:rFonts w:ascii="Cambria Math" w:hAnsi="Cambria Math" w:cs="Times New Roman"/>
                </w:rPr>
                <m:t>e</m:t>
              </m:r>
            </m:e>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j</m:t>
                  </m:r>
                </m:sub>
              </m:sSub>
            </m:sup>
          </m:sSup>
          <m:sSup>
            <m:sSupPr>
              <m:ctrlPr>
                <w:rPr>
                  <w:rFonts w:ascii="Cambria Math" w:hAnsi="Cambria Math" w:cs="Times New Roman"/>
                  <w:i/>
                </w:rPr>
              </m:ctrlPr>
            </m:sSupPr>
            <m:e>
              <m:r>
                <w:rPr>
                  <w:rFonts w:ascii="Cambria Math" w:hAnsi="Cambria Math" w:cs="Times New Roman"/>
                </w:rPr>
                <m:t>e</m:t>
              </m:r>
            </m:e>
            <m:sup>
              <m:nary>
                <m:naryPr>
                  <m:chr m:val="∑"/>
                  <m:limLoc m:val="subSup"/>
                  <m:supHide m:val="1"/>
                  <m:ctrlPr>
                    <w:rPr>
                      <w:rFonts w:ascii="Cambria Math" w:hAnsi="Cambria Math" w:cs="Times New Roman"/>
                      <w:i/>
                    </w:rPr>
                  </m:ctrlPr>
                </m:naryPr>
                <m:sub>
                  <m:r>
                    <w:rPr>
                      <w:rFonts w:ascii="Cambria Math" w:hAnsi="Cambria Math" w:cs="Times New Roman"/>
                    </w:rPr>
                    <m:t>k</m:t>
                  </m:r>
                </m:sub>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k,i</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m:t>
                      </m:r>
                    </m:sub>
                  </m:sSub>
                </m:e>
              </m:nary>
            </m:sup>
          </m:sSup>
        </m:oMath>
      </m:oMathPara>
    </w:p>
    <w:p w14:paraId="42CCB80E"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eastAsiaTheme="minorEastAsia" w:hAnsi="Times New Roman" w:cs="Times New Roman"/>
          <w:sz w:val="20"/>
          <w:szCs w:val="20"/>
        </w:rPr>
        <w:t xml:space="preserve">With </w:t>
      </w:r>
      <m:oMath>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j</m:t>
            </m:r>
          </m:sub>
        </m:sSub>
      </m:oMath>
      <w:r w:rsidRPr="00E25D8D">
        <w:rPr>
          <w:rFonts w:ascii="Times New Roman" w:eastAsiaTheme="minorEastAsia" w:hAnsi="Times New Roman" w:cs="Times New Roman"/>
          <w:sz w:val="20"/>
          <w:szCs w:val="20"/>
        </w:rPr>
        <w:t xml:space="preserve"> the coefficients for the country </w:t>
      </w:r>
      <w:r w:rsidRPr="00E25D8D">
        <w:rPr>
          <w:rFonts w:ascii="Times New Roman" w:eastAsiaTheme="minorEastAsia" w:hAnsi="Times New Roman" w:cs="Times New Roman"/>
          <w:i/>
          <w:iCs/>
          <w:sz w:val="20"/>
          <w:szCs w:val="20"/>
        </w:rPr>
        <w:t>j</w:t>
      </w:r>
      <w:r w:rsidRPr="00E25D8D">
        <w:rPr>
          <w:rFonts w:ascii="Times New Roman" w:eastAsiaTheme="minorEastAsia" w:hAnsi="Times New Roman" w:cs="Times New Roman"/>
          <w:sz w:val="20"/>
          <w:szCs w:val="20"/>
        </w:rPr>
        <w:t xml:space="preserve"> where individual </w:t>
      </w:r>
      <w:proofErr w:type="spellStart"/>
      <w:r w:rsidRPr="00E25D8D">
        <w:rPr>
          <w:rFonts w:ascii="Times New Roman" w:eastAsiaTheme="minorEastAsia" w:hAnsi="Times New Roman" w:cs="Times New Roman"/>
          <w:i/>
          <w:iCs/>
          <w:sz w:val="20"/>
          <w:szCs w:val="20"/>
        </w:rPr>
        <w:t>i</w:t>
      </w:r>
      <w:proofErr w:type="spellEnd"/>
      <w:r w:rsidRPr="00E25D8D">
        <w:rPr>
          <w:rFonts w:ascii="Times New Roman" w:eastAsiaTheme="minorEastAsia" w:hAnsi="Times New Roman" w:cs="Times New Roman"/>
          <w:sz w:val="20"/>
          <w:szCs w:val="20"/>
        </w:rPr>
        <w:t xml:space="preserve"> lives, which follows a gaussian law with mean equal to 0.</w:t>
      </w:r>
      <w:r w:rsidRPr="00E25D8D">
        <w:rPr>
          <w:rFonts w:ascii="Times New Roman" w:hAnsi="Times New Roman" w:cs="Times New Roman"/>
          <w:sz w:val="20"/>
          <w:szCs w:val="20"/>
        </w:rPr>
        <w:t xml:space="preserve"> Its exponentiated value of its variance then represents the average excess of risk associated to country membership. As an </w:t>
      </w:r>
      <w:r w:rsidRPr="00E25D8D">
        <w:rPr>
          <w:rFonts w:ascii="Times New Roman" w:hAnsi="Times New Roman" w:cs="Times New Roman"/>
          <w:sz w:val="20"/>
          <w:szCs w:val="20"/>
        </w:rPr>
        <w:lastRenderedPageBreak/>
        <w:t>application of this, we compute the variation of the reference risk</w:t>
      </w:r>
      <w:r w:rsidRPr="00704860">
        <w:rPr>
          <w:rStyle w:val="Appelnotedebasdep"/>
        </w:rPr>
        <w:footnoteReference w:id="3"/>
      </w:r>
      <w:r w:rsidRPr="00E25D8D">
        <w:rPr>
          <w:rFonts w:ascii="Times New Roman" w:hAnsi="Times New Roman" w:cs="Times New Roman"/>
          <w:sz w:val="20"/>
          <w:szCs w:val="20"/>
        </w:rPr>
        <w:t xml:space="preserve"> (which is equal to male elder, born in 1924-33, with primary studies and living with a partner) for each country while holding all of other coefficients (sex, cohort, education and living arrangements) and the variance fixed.</w:t>
      </w:r>
    </w:p>
    <w:p w14:paraId="42BDCBD3" w14:textId="77777777" w:rsidR="00416D9D" w:rsidRPr="007E7CB6" w:rsidRDefault="00416D9D" w:rsidP="00E25D8D">
      <w:pPr>
        <w:pStyle w:val="Titre2"/>
        <w:spacing w:before="240" w:after="240" w:line="240" w:lineRule="auto"/>
        <w:rPr>
          <w:rFonts w:ascii="Times New Roman" w:hAnsi="Times New Roman" w:cs="Times New Roman"/>
          <w:color w:val="auto"/>
          <w:sz w:val="20"/>
          <w:szCs w:val="20"/>
          <w:lang w:val="en-US"/>
        </w:rPr>
      </w:pPr>
      <w:bookmarkStart w:id="4" w:name="_Toc25224767"/>
      <w:bookmarkStart w:id="5" w:name="_Toc25940493"/>
      <w:r w:rsidRPr="007E7CB6">
        <w:rPr>
          <w:rFonts w:ascii="Times New Roman" w:hAnsi="Times New Roman" w:cs="Times New Roman"/>
          <w:color w:val="auto"/>
          <w:sz w:val="20"/>
          <w:szCs w:val="20"/>
          <w:lang w:val="en-US"/>
        </w:rPr>
        <w:t>Model 3. Random slopes by living arrangements (level 1) within countries (level 2)</w:t>
      </w:r>
      <w:bookmarkEnd w:id="4"/>
      <w:bookmarkEnd w:id="5"/>
    </w:p>
    <w:p w14:paraId="06413639" w14:textId="77777777" w:rsidR="00416D9D" w:rsidRPr="00E25D8D" w:rsidRDefault="00416D9D" w:rsidP="00E25D8D">
      <w:pPr>
        <w:spacing w:before="240" w:after="240" w:line="240" w:lineRule="auto"/>
        <w:jc w:val="both"/>
        <w:rPr>
          <w:rFonts w:ascii="Times New Roman" w:hAnsi="Times New Roman" w:cs="Times New Roman"/>
          <w:sz w:val="20"/>
          <w:szCs w:val="20"/>
        </w:rPr>
      </w:pPr>
      <w:r w:rsidRPr="00E25D8D">
        <w:rPr>
          <w:rFonts w:ascii="Times New Roman" w:hAnsi="Times New Roman" w:cs="Times New Roman"/>
          <w:sz w:val="20"/>
          <w:szCs w:val="20"/>
        </w:rPr>
        <w:t>This model with living arrangements at level 1 and countries at level 2, with both having a varying random intercept coefficient, takes the form:</w:t>
      </w:r>
    </w:p>
    <w:p w14:paraId="0EC9D0A6" w14:textId="77777777" w:rsidR="00416D9D" w:rsidRPr="000B7C8C" w:rsidRDefault="00000000" w:rsidP="00416D9D">
      <w:pPr>
        <w:spacing w:before="240" w:after="240" w:line="48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i,j,h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t</m:t>
              </m:r>
            </m:e>
          </m:d>
          <m:sSup>
            <m:sSupPr>
              <m:ctrlPr>
                <w:rPr>
                  <w:rFonts w:ascii="Cambria Math" w:hAnsi="Cambria Math" w:cs="Times New Roman"/>
                  <w:i/>
                </w:rPr>
              </m:ctrlPr>
            </m:sSupPr>
            <m:e>
              <m:r>
                <w:rPr>
                  <w:rFonts w:ascii="Cambria Math" w:hAnsi="Cambria Math" w:cs="Times New Roman"/>
                </w:rPr>
                <m:t>e</m:t>
              </m:r>
            </m:e>
            <m:sup>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h,j</m:t>
                  </m:r>
                </m:sub>
              </m:sSub>
            </m:sup>
          </m:sSup>
          <m:sSup>
            <m:sSupPr>
              <m:ctrlPr>
                <w:rPr>
                  <w:rFonts w:ascii="Cambria Math" w:hAnsi="Cambria Math" w:cs="Times New Roman"/>
                  <w:i/>
                </w:rPr>
              </m:ctrlPr>
            </m:sSupPr>
            <m:e>
              <m:r>
                <w:rPr>
                  <w:rFonts w:ascii="Cambria Math" w:hAnsi="Cambria Math" w:cs="Times New Roman"/>
                </w:rPr>
                <m:t>e</m:t>
              </m:r>
            </m:e>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j</m:t>
                  </m:r>
                </m:sub>
              </m:sSub>
            </m:sup>
          </m:sSup>
          <m:sSup>
            <m:sSupPr>
              <m:ctrlPr>
                <w:rPr>
                  <w:rFonts w:ascii="Cambria Math" w:hAnsi="Cambria Math" w:cs="Times New Roman"/>
                  <w:i/>
                </w:rPr>
              </m:ctrlPr>
            </m:sSupPr>
            <m:e>
              <m:r>
                <w:rPr>
                  <w:rFonts w:ascii="Cambria Math" w:hAnsi="Cambria Math" w:cs="Times New Roman"/>
                </w:rPr>
                <m:t>e</m:t>
              </m:r>
            </m:e>
            <m:sup>
              <m:nary>
                <m:naryPr>
                  <m:chr m:val="∑"/>
                  <m:limLoc m:val="subSup"/>
                  <m:supHide m:val="1"/>
                  <m:ctrlPr>
                    <w:rPr>
                      <w:rFonts w:ascii="Cambria Math" w:hAnsi="Cambria Math" w:cs="Times New Roman"/>
                      <w:i/>
                    </w:rPr>
                  </m:ctrlPr>
                </m:naryPr>
                <m:sub>
                  <m:r>
                    <w:rPr>
                      <w:rFonts w:ascii="Cambria Math" w:hAnsi="Cambria Math" w:cs="Times New Roman"/>
                    </w:rPr>
                    <m:t>k</m:t>
                  </m:r>
                </m:sub>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k,i</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m:t>
                      </m:r>
                    </m:sub>
                  </m:sSub>
                </m:e>
              </m:nary>
            </m:sup>
          </m:sSup>
        </m:oMath>
      </m:oMathPara>
    </w:p>
    <w:p w14:paraId="6F561CA9" w14:textId="77777777" w:rsidR="00416D9D" w:rsidRPr="00E25D8D" w:rsidRDefault="00416D9D" w:rsidP="00E25D8D">
      <w:pPr>
        <w:spacing w:before="240" w:after="240" w:line="240" w:lineRule="auto"/>
        <w:rPr>
          <w:rFonts w:ascii="Times New Roman" w:hAnsi="Times New Roman" w:cs="Times New Roman"/>
          <w:sz w:val="20"/>
          <w:szCs w:val="20"/>
        </w:rPr>
      </w:pPr>
      <w:r w:rsidRPr="00E25D8D">
        <w:rPr>
          <w:rFonts w:ascii="Times New Roman" w:eastAsiaTheme="minorEastAsia" w:hAnsi="Times New Roman" w:cs="Times New Roman"/>
          <w:sz w:val="20"/>
          <w:szCs w:val="20"/>
        </w:rPr>
        <w:t xml:space="preserve">Where again </w:t>
      </w:r>
      <m:oMath>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j</m:t>
            </m:r>
          </m:sub>
        </m:sSub>
      </m:oMath>
      <w:r w:rsidRPr="00E25D8D">
        <w:rPr>
          <w:rFonts w:ascii="Times New Roman" w:eastAsiaTheme="minorEastAsia" w:hAnsi="Times New Roman" w:cs="Times New Roman"/>
          <w:sz w:val="20"/>
          <w:szCs w:val="20"/>
        </w:rPr>
        <w:t xml:space="preserve"> is the coefficient for country </w:t>
      </w:r>
      <w:r w:rsidRPr="00E25D8D">
        <w:rPr>
          <w:rFonts w:ascii="Times New Roman" w:eastAsiaTheme="minorEastAsia" w:hAnsi="Times New Roman" w:cs="Times New Roman"/>
          <w:i/>
          <w:iCs/>
          <w:sz w:val="20"/>
          <w:szCs w:val="20"/>
        </w:rPr>
        <w:t>j</w:t>
      </w:r>
      <w:r w:rsidRPr="00E25D8D">
        <w:rPr>
          <w:rFonts w:ascii="Times New Roman" w:eastAsiaTheme="minorEastAsia" w:hAnsi="Times New Roman" w:cs="Times New Roman"/>
          <w:sz w:val="20"/>
          <w:szCs w:val="20"/>
        </w:rPr>
        <w:t xml:space="preserve"> where individual </w:t>
      </w:r>
      <w:proofErr w:type="spellStart"/>
      <w:r w:rsidRPr="00E25D8D">
        <w:rPr>
          <w:rFonts w:ascii="Times New Roman" w:eastAsiaTheme="minorEastAsia" w:hAnsi="Times New Roman" w:cs="Times New Roman"/>
          <w:i/>
          <w:iCs/>
          <w:sz w:val="20"/>
          <w:szCs w:val="20"/>
        </w:rPr>
        <w:t>i</w:t>
      </w:r>
      <w:proofErr w:type="spellEnd"/>
      <w:r w:rsidRPr="00E25D8D">
        <w:rPr>
          <w:rFonts w:ascii="Times New Roman" w:eastAsiaTheme="minorEastAsia" w:hAnsi="Times New Roman" w:cs="Times New Roman"/>
          <w:sz w:val="20"/>
          <w:szCs w:val="20"/>
        </w:rPr>
        <w:t xml:space="preserve"> lives, </w:t>
      </w:r>
      <m:oMath>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h,j</m:t>
            </m:r>
          </m:sub>
        </m:sSub>
      </m:oMath>
      <w:r w:rsidRPr="00E25D8D">
        <w:rPr>
          <w:rFonts w:ascii="Times New Roman" w:eastAsiaTheme="minorEastAsia" w:hAnsi="Times New Roman" w:cs="Times New Roman"/>
          <w:sz w:val="20"/>
          <w:szCs w:val="20"/>
        </w:rPr>
        <w:t xml:space="preserve"> is the coefficient for living arrangement </w:t>
      </w:r>
      <w:r w:rsidRPr="00E25D8D">
        <w:rPr>
          <w:rFonts w:ascii="Times New Roman" w:eastAsiaTheme="minorEastAsia" w:hAnsi="Times New Roman" w:cs="Times New Roman"/>
          <w:i/>
          <w:iCs/>
          <w:sz w:val="20"/>
          <w:szCs w:val="20"/>
        </w:rPr>
        <w:t>h</w:t>
      </w:r>
      <w:r w:rsidRPr="00E25D8D">
        <w:rPr>
          <w:rFonts w:ascii="Times New Roman" w:eastAsiaTheme="minorEastAsia" w:hAnsi="Times New Roman" w:cs="Times New Roman"/>
          <w:sz w:val="20"/>
          <w:szCs w:val="20"/>
        </w:rPr>
        <w:t xml:space="preserve"> and country </w:t>
      </w:r>
      <w:r w:rsidRPr="00E25D8D">
        <w:rPr>
          <w:rFonts w:ascii="Times New Roman" w:eastAsiaTheme="minorEastAsia" w:hAnsi="Times New Roman" w:cs="Times New Roman"/>
          <w:i/>
          <w:iCs/>
          <w:sz w:val="20"/>
          <w:szCs w:val="20"/>
        </w:rPr>
        <w:t>j</w:t>
      </w:r>
      <w:r w:rsidRPr="00E25D8D">
        <w:rPr>
          <w:rFonts w:ascii="Times New Roman" w:eastAsiaTheme="minorEastAsia" w:hAnsi="Times New Roman" w:cs="Times New Roman"/>
          <w:sz w:val="20"/>
          <w:szCs w:val="20"/>
        </w:rPr>
        <w:t>, with both coefficients following a gaussian law with mean equal to 0.</w:t>
      </w:r>
      <w:r w:rsidRPr="00E25D8D">
        <w:rPr>
          <w:rFonts w:ascii="Times New Roman" w:hAnsi="Times New Roman" w:cs="Times New Roman"/>
          <w:sz w:val="20"/>
          <w:szCs w:val="20"/>
        </w:rPr>
        <w:t xml:space="preserve"> </w:t>
      </w:r>
    </w:p>
    <w:p w14:paraId="55966D9D" w14:textId="77777777" w:rsidR="00416D9D" w:rsidRPr="00E25D8D" w:rsidRDefault="00416D9D" w:rsidP="00E25D8D">
      <w:pPr>
        <w:pStyle w:val="Titre3"/>
        <w:spacing w:before="240" w:after="240"/>
        <w:rPr>
          <w:rFonts w:ascii="Times New Roman" w:hAnsi="Times New Roman" w:cs="Times New Roman"/>
          <w:sz w:val="20"/>
          <w:szCs w:val="20"/>
        </w:rPr>
      </w:pPr>
      <w:r w:rsidRPr="00E25D8D">
        <w:rPr>
          <w:rFonts w:ascii="Times New Roman" w:hAnsi="Times New Roman" w:cs="Times New Roman"/>
          <w:bCs/>
          <w:sz w:val="20"/>
          <w:szCs w:val="20"/>
          <w:lang w:val="es-419"/>
        </w:rPr>
        <w:t xml:space="preserve">eMethods2.- </w:t>
      </w:r>
      <w:r w:rsidRPr="00E25D8D">
        <w:rPr>
          <w:rFonts w:ascii="Times New Roman" w:hAnsi="Times New Roman" w:cs="Times New Roman"/>
          <w:sz w:val="20"/>
          <w:szCs w:val="20"/>
        </w:rPr>
        <w:t>Model description</w:t>
      </w:r>
    </w:p>
    <w:p w14:paraId="06F8015F" w14:textId="77777777" w:rsidR="00416D9D" w:rsidRDefault="00416D9D" w:rsidP="00E25D8D">
      <w:pPr>
        <w:pStyle w:val="Paragraphedeliste"/>
        <w:numPr>
          <w:ilvl w:val="0"/>
          <w:numId w:val="1"/>
        </w:numPr>
        <w:spacing w:after="0" w:line="240" w:lineRule="auto"/>
        <w:ind w:right="426"/>
        <w:contextualSpacing w:val="0"/>
        <w:jc w:val="both"/>
        <w:rPr>
          <w:rFonts w:ascii="Times New Roman" w:hAnsi="Times New Roman" w:cs="Times New Roman"/>
          <w:sz w:val="20"/>
          <w:szCs w:val="20"/>
        </w:rPr>
      </w:pPr>
      <w:r w:rsidRPr="00E25D8D">
        <w:rPr>
          <w:rFonts w:ascii="Times New Roman" w:hAnsi="Times New Roman" w:cs="Times New Roman"/>
          <w:sz w:val="20"/>
          <w:szCs w:val="20"/>
        </w:rPr>
        <w:t xml:space="preserve">Model 1 is a classical Cox PH model with fixed effects of living arrangements, controlling for sex, birth cohort and educational attainment. This type of model is commonly used to represent effects of factors on the hazards (instantaneous transition probabilities) but doesn’t make any assumption on the baseline reference risk. Some authors have called this free baseline or free reference risk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{"citationItems":[{"id":"ITEM-1","itemData":{"DOI":"10.4054/DemRes.2014.31.14","ISSN":"14359871","abstract":"Background: The growing interest in pathways, the increased availability of life-history data, innovations in statistical and demographic techniques, and advances in software technology have stimulated the development of software packages for multistate modeling of life histories. Objective: In the paper we list and briefly discuss several software packages for multistate analysis of life-history data. The packages cover the estimation of multistate models (transition rates and transition probabilities), multistate life tables, multistate population projections, and microsimulation. Methods: Brief description of software packages in a historical and comparative perspective. Results: During the past 10 years the advances in multistate modeling software have been impressive. New computational tools accompany the development of new methods in statistics and demography. The statistical theory of counting processes is the preferred method for the estimation of multistate models and R is the preferred programming platform. Conclusions: Innovations in method, data, and computer technology have removed the traditional barriers to multistate modeling of life histories and the computation of informative lifecourse indicators. The challenge ahead of us is to model and predict individual life histories.","author":[{"dropping-particle":"","family":"Willekens","given":"Frans","non-dropping-particle":"","parse-names":false,"suffix":""},{"dropping-particle":"","family":"Putter","given":"Hein","non-dropping-particle":"","parse-names":false,"suffix":""}],"container-title":"Demographic Research","id":"ITEM-1","issue":"1","issued":{"date-parts":[["2014"]]},"page":"381-420","title":"Software for multistate analysis","type":"article-journal","volume":"31"},"uris":["http://www.mendeley.com/documents/?uuid=c6fb7b86-e438-431d-8d02-589ccc66c85c"]},{"id":"ITEM-2","itemData":{"author":[{"dropping-particle":"","family":"Wreede","given":"Liesbeth C.","non-dropping-particle":"de","parse-names":false,"suffix":""},{"dropping-particle":"","family":"Fiocco","given":"Marta","non-dropping-particle":"","parse-names":false,"suffix":""},{"dropping-particle":"","family":"Putter","given":"Hein","non-dropping-particle":"","parse-names":false,"suffix":""}],"container-title":"Journal of Statistical Software","id":"ITEM-2","issue":"7","issued":{"date-parts":[["2011"]]},"title":"mstate : An R Package for the Analysis of","type":"article-journal","volume":"38"},"uris":["http://www.mendeley.com/documents/?uuid=c0c75592-17ee-45bc-aac8-647bb3e45436"]},{"id":"ITEM-3","itemData":{"author":[{"dropping-particle":"","family":"Broström","given":"Göran","non-dropping-particle":"","parse-names":false,"suffix":""}],"id":"ITEM-3","issued":{"date-parts":[["2012"]]},"title":"Event History Analysis with R","type":"book"},"uris":["http://www.mendeley.com/documents/?uuid=502677d0-d6a5-400f-a7f9-b5ef65dcd4ee"]},{"id":"ITEM-4","itemData":{"author":[{"dropping-particle":"","family":"Allison","given":"Paul","non-dropping-particle":"","parse-names":false,"suffix":""}],"id":"ITEM-4","issued":{"date-parts":[["2014"]]},"title":"Event History and Survival Analysis (Quantitative Applications in the Social Sciences)","type":"book"},"uris":["http://www.mendeley.com/documents/?uuid=7d1bafd9-82b2-42f2-97d4-1d9a72692450"]}],"mendeley":{"formattedCitation":"&lt;sup&gt;12,14,17,33&lt;/sup&gt;","plainTextFormattedCitation":"12,14,17,33","previouslyFormattedCitation":"&lt;sup&gt;11,13,16,32&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12,14,17,33</w:t>
      </w:r>
      <w:r w:rsidRPr="00E25D8D">
        <w:rPr>
          <w:rFonts w:ascii="Times New Roman" w:hAnsi="Times New Roman" w:cs="Times New Roman"/>
          <w:sz w:val="20"/>
          <w:szCs w:val="20"/>
        </w:rPr>
        <w:fldChar w:fldCharType="end"/>
      </w:r>
      <w:r w:rsidR="00871097">
        <w:rPr>
          <w:rFonts w:ascii="Times New Roman" w:hAnsi="Times New Roman" w:cs="Times New Roman"/>
          <w:sz w:val="20"/>
          <w:szCs w:val="20"/>
        </w:rPr>
        <w:t xml:space="preserve"> and </w:t>
      </w:r>
      <w:r w:rsidRPr="00E25D8D">
        <w:rPr>
          <w:rFonts w:ascii="Times New Roman" w:hAnsi="Times New Roman" w:cs="Times New Roman"/>
          <w:sz w:val="20"/>
          <w:szCs w:val="20"/>
        </w:rPr>
        <w:t>. The reference risk is based on a male individual, born between 1924 and 1933 (oldest cohort), with primary studies and living with a partner</w:t>
      </w:r>
      <w:r w:rsidRPr="00704860">
        <w:rPr>
          <w:rStyle w:val="Appelnotedebasdep"/>
        </w:rPr>
        <w:footnoteReference w:id="4"/>
      </w:r>
      <w:r w:rsidRPr="00E25D8D">
        <w:rPr>
          <w:rFonts w:ascii="Times New Roman" w:hAnsi="Times New Roman" w:cs="Times New Roman"/>
          <w:sz w:val="20"/>
          <w:szCs w:val="20"/>
        </w:rPr>
        <w:t>.</w:t>
      </w:r>
    </w:p>
    <w:p w14:paraId="73594B1D" w14:textId="77777777" w:rsidR="00583F7D" w:rsidRPr="00E25D8D" w:rsidRDefault="00583F7D" w:rsidP="00583F7D">
      <w:pPr>
        <w:pStyle w:val="Paragraphedeliste"/>
        <w:spacing w:after="0" w:line="240" w:lineRule="auto"/>
        <w:ind w:left="360" w:right="426"/>
        <w:contextualSpacing w:val="0"/>
        <w:jc w:val="both"/>
        <w:rPr>
          <w:rFonts w:ascii="Times New Roman" w:hAnsi="Times New Roman" w:cs="Times New Roman"/>
          <w:sz w:val="20"/>
          <w:szCs w:val="20"/>
        </w:rPr>
      </w:pPr>
    </w:p>
    <w:p w14:paraId="43A37AD1" w14:textId="77777777" w:rsidR="00416D9D" w:rsidRPr="00E25D8D" w:rsidRDefault="00416D9D" w:rsidP="00E25D8D">
      <w:pPr>
        <w:pStyle w:val="Paragraphedeliste"/>
        <w:numPr>
          <w:ilvl w:val="0"/>
          <w:numId w:val="1"/>
        </w:numPr>
        <w:spacing w:after="0" w:line="240" w:lineRule="auto"/>
        <w:ind w:right="426"/>
        <w:contextualSpacing w:val="0"/>
        <w:jc w:val="both"/>
        <w:rPr>
          <w:rFonts w:ascii="Times New Roman" w:hAnsi="Times New Roman" w:cs="Times New Roman"/>
          <w:sz w:val="20"/>
          <w:szCs w:val="20"/>
        </w:rPr>
      </w:pPr>
      <w:r w:rsidRPr="00E25D8D">
        <w:rPr>
          <w:rFonts w:ascii="Times New Roman" w:hAnsi="Times New Roman" w:cs="Times New Roman"/>
          <w:sz w:val="20"/>
          <w:szCs w:val="20"/>
        </w:rPr>
        <w:t>Model 2 is a multi-level model with 1 level, the response variable, which is the reference risk or random intercept in each health transition. This model includes a random intercept by country to account between-country heterogeneity in health status changes at older ages. There was also fit a model where the random intercepts were individuals (individual-level intercepts Model) to account intra individual correlation between waves, however, as this model doesn’t show significant differences, was excluded from the analysis.</w:t>
      </w:r>
    </w:p>
    <w:p w14:paraId="71AB7153" w14:textId="77777777" w:rsidR="00416D9D" w:rsidRPr="00E25D8D" w:rsidRDefault="00416D9D" w:rsidP="00E25D8D">
      <w:pPr>
        <w:pStyle w:val="Paragraphedeliste"/>
        <w:numPr>
          <w:ilvl w:val="0"/>
          <w:numId w:val="1"/>
        </w:numPr>
        <w:spacing w:before="240" w:line="240" w:lineRule="auto"/>
        <w:ind w:right="426"/>
        <w:contextualSpacing w:val="0"/>
        <w:jc w:val="both"/>
        <w:rPr>
          <w:rFonts w:ascii="Times New Roman" w:hAnsi="Times New Roman" w:cs="Times New Roman"/>
          <w:sz w:val="20"/>
          <w:szCs w:val="20"/>
        </w:rPr>
      </w:pPr>
      <w:r w:rsidRPr="00E25D8D">
        <w:rPr>
          <w:rFonts w:ascii="Times New Roman" w:hAnsi="Times New Roman" w:cs="Times New Roman"/>
          <w:sz w:val="20"/>
          <w:szCs w:val="20"/>
        </w:rPr>
        <w:t>Model 3 is a multi-level model with 2 levels or random slopes that deal with different effects of covariates at each level. As Rabe-</w:t>
      </w:r>
      <w:proofErr w:type="spellStart"/>
      <w:r w:rsidRPr="00E25D8D">
        <w:rPr>
          <w:rFonts w:ascii="Times New Roman" w:hAnsi="Times New Roman" w:cs="Times New Roman"/>
          <w:sz w:val="20"/>
          <w:szCs w:val="20"/>
        </w:rPr>
        <w:t>Hesketh</w:t>
      </w:r>
      <w:proofErr w:type="spellEnd"/>
      <w:r w:rsidRPr="00E25D8D">
        <w:rPr>
          <w:rFonts w:ascii="Times New Roman" w:hAnsi="Times New Roman" w:cs="Times New Roman"/>
          <w:sz w:val="20"/>
          <w:szCs w:val="20"/>
        </w:rPr>
        <w:t xml:space="preserve"> </w:t>
      </w:r>
      <w:r w:rsidRPr="00E25D8D">
        <w:rPr>
          <w:rFonts w:ascii="Times New Roman" w:hAnsi="Times New Roman" w:cs="Times New Roman"/>
          <w:sz w:val="20"/>
          <w:szCs w:val="20"/>
        </w:rPr>
        <w:fldChar w:fldCharType="begin" w:fldLock="1"/>
      </w:r>
      <w:r w:rsidR="00446BC0">
        <w:rPr>
          <w:rFonts w:ascii="Times New Roman" w:hAnsi="Times New Roman" w:cs="Times New Roman"/>
          <w:sz w:val="20"/>
          <w:szCs w:val="20"/>
        </w:rPr>
        <w:instrText>ADDIN CSL_CITATION {"citationItems":[{"id":"ITEM-1","itemData":{"DOI":"10.1198/tas.2006.s56","ISBN":"9781597180405","ISSN":"0003-1305","PMID":"24504218","abstract":"This text is a Stata-specific treatment of generalized linear mixed models, also known as multilevel or hierarchical models. These models are \"mixed\" in the sense that they allow fixed and random effects and are \"generalized\" in the sense that they are appropriate not only for continuous Gaussian responses but also for binary, count, and other types of limited dependent variables.","author":[{"dropping-particle":"","family":"Rabe-Hesketh","given":"Sophia","non-dropping-particle":"","parse-names":false,"suffix":""}],"container-title":"The American Statistician","id":"ITEM-1","issued":{"date-parts":[["2012"]]},"title":"Multilevel and Longitudinal Modeling Using Stata","type":"book"},"locator":"125","uris":["http://www.mendeley.com/documents/?uuid=88ccd07c-1cf1-479b-aba5-2a572937c03a"]}],"mendeley":{"formattedCitation":"&lt;sup&gt;32(p125)&lt;/sup&gt;","plainTextFormattedCitation":"32(p125)","previouslyFormattedCitation":"&lt;sup&gt;31(p125)&lt;/sup&gt;"},"properties":{"noteIndex":0},"schema":"https://github.com/citation-style-language/schema/raw/master/csl-citation.json"}</w:instrText>
      </w:r>
      <w:r w:rsidRPr="00E25D8D">
        <w:rPr>
          <w:rFonts w:ascii="Times New Roman" w:hAnsi="Times New Roman" w:cs="Times New Roman"/>
          <w:sz w:val="20"/>
          <w:szCs w:val="20"/>
        </w:rPr>
        <w:fldChar w:fldCharType="separate"/>
      </w:r>
      <w:r w:rsidR="00446BC0" w:rsidRPr="00446BC0">
        <w:rPr>
          <w:rFonts w:ascii="Times New Roman" w:hAnsi="Times New Roman" w:cs="Times New Roman"/>
          <w:noProof/>
          <w:sz w:val="20"/>
          <w:szCs w:val="20"/>
          <w:vertAlign w:val="superscript"/>
        </w:rPr>
        <w:t>32(p125)</w:t>
      </w:r>
      <w:r w:rsidRPr="00E25D8D">
        <w:rPr>
          <w:rFonts w:ascii="Times New Roman" w:hAnsi="Times New Roman" w:cs="Times New Roman"/>
          <w:sz w:val="20"/>
          <w:szCs w:val="20"/>
        </w:rPr>
        <w:fldChar w:fldCharType="end"/>
      </w:r>
      <w:r w:rsidRPr="00E25D8D">
        <w:rPr>
          <w:rFonts w:ascii="Times New Roman" w:hAnsi="Times New Roman" w:cs="Times New Roman"/>
          <w:sz w:val="20"/>
          <w:szCs w:val="20"/>
        </w:rPr>
        <w:t xml:space="preserve"> explains, the response variable (here hazards of health status change) always varies at the lowest level. Because the values for individual-level intercepts Model was not substantial, we used living arrangements as the lowest level of analysis here. Each variable is nested within the level 2 country clusters to account for the varying effect of these predictors/covariates across countries. Lastly, explanatory variables (random slopes) can either vary at level 1 or at level 2. For purpose of this study, we focus our attention on the variation of explanatory variables at level 1 within the level 2 country cluster. Model 3 is therefore compared to Model 2. </w:t>
      </w:r>
    </w:p>
    <w:p w14:paraId="59276F58" w14:textId="77777777" w:rsidR="00416D9D" w:rsidRPr="00E25D8D" w:rsidRDefault="00416D9D" w:rsidP="00E25D8D">
      <w:pPr>
        <w:spacing w:before="240" w:line="240" w:lineRule="auto"/>
        <w:ind w:right="426"/>
        <w:jc w:val="both"/>
        <w:rPr>
          <w:rFonts w:ascii="Times New Roman" w:hAnsi="Times New Roman" w:cs="Times New Roman"/>
          <w:sz w:val="20"/>
          <w:szCs w:val="20"/>
        </w:rPr>
      </w:pPr>
      <w:r w:rsidRPr="00E25D8D">
        <w:rPr>
          <w:rFonts w:ascii="Times New Roman" w:hAnsi="Times New Roman" w:cs="Times New Roman"/>
          <w:sz w:val="20"/>
          <w:szCs w:val="20"/>
        </w:rPr>
        <w:t xml:space="preserve">The results show that all models with random effects fit significantly better than the simple Cox PH model for each transition type (see TABLE 3 in the main document). Nevertheless, when considering the log-likelihood and chi square values, the model with only the country level as random intercept - model 2- still does not have a good fit as the log likelihood is significantly lower when two hierarchical levels are introduced into the model. This is also reflected by the chi squared values which indicated the significant reduction in deviance when we fit 2 levels models. Although in models with higher hierarchical level the increment of the log-likelihood value decreases notably, model 2.1 that contained the individual as random intercept was excluded due the scarce variance reported for the random effect (see random effects and fixed effect in </w:t>
      </w:r>
      <w:r w:rsidRPr="00E25D8D">
        <w:rPr>
          <w:rFonts w:ascii="Times New Roman" w:hAnsi="Times New Roman" w:cs="Times New Roman"/>
          <w:b/>
          <w:sz w:val="20"/>
          <w:szCs w:val="20"/>
        </w:rPr>
        <w:t>eMethod</w:t>
      </w:r>
      <w:r w:rsidR="00E25D8D">
        <w:rPr>
          <w:rFonts w:ascii="Times New Roman" w:hAnsi="Times New Roman" w:cs="Times New Roman"/>
          <w:b/>
          <w:sz w:val="20"/>
          <w:szCs w:val="20"/>
        </w:rPr>
        <w:t>s</w:t>
      </w:r>
      <w:r w:rsidRPr="00E25D8D">
        <w:rPr>
          <w:rFonts w:ascii="Times New Roman" w:hAnsi="Times New Roman" w:cs="Times New Roman"/>
          <w:b/>
          <w:sz w:val="20"/>
          <w:szCs w:val="20"/>
        </w:rPr>
        <w:t>1</w:t>
      </w:r>
      <w:r w:rsidRPr="00E25D8D">
        <w:rPr>
          <w:rFonts w:ascii="Times New Roman" w:hAnsi="Times New Roman" w:cs="Times New Roman"/>
          <w:sz w:val="20"/>
          <w:szCs w:val="20"/>
        </w:rPr>
        <w:t>)</w:t>
      </w:r>
    </w:p>
    <w:p w14:paraId="58E755EA" w14:textId="77777777" w:rsidR="00416D9D" w:rsidRDefault="00416D9D" w:rsidP="00416D9D">
      <w:pPr>
        <w:rPr>
          <w:rFonts w:ascii="Times New Roman" w:hAnsi="Times New Roman" w:cs="Times New Roman"/>
          <w:sz w:val="24"/>
          <w:szCs w:val="24"/>
        </w:rPr>
        <w:sectPr w:rsidR="00416D9D" w:rsidSect="007E7CB6">
          <w:footerReference w:type="default" r:id="rId9"/>
          <w:pgSz w:w="11906" w:h="16838"/>
          <w:pgMar w:top="1134" w:right="1134" w:bottom="1134" w:left="1134" w:header="708" w:footer="708" w:gutter="0"/>
          <w:cols w:space="708"/>
          <w:titlePg/>
          <w:docGrid w:linePitch="360"/>
        </w:sectPr>
      </w:pPr>
    </w:p>
    <w:p w14:paraId="3DD7CEC5" w14:textId="77777777" w:rsidR="00416D9D" w:rsidRPr="008D4557" w:rsidRDefault="00871097" w:rsidP="00416D9D">
      <w:pPr>
        <w:rPr>
          <w:rFonts w:ascii="Arial" w:hAnsi="Arial" w:cs="Arial"/>
          <w:b/>
          <w:sz w:val="24"/>
          <w:szCs w:val="24"/>
        </w:rPr>
      </w:pPr>
      <w:r>
        <w:rPr>
          <w:rFonts w:ascii="Arial" w:hAnsi="Arial" w:cs="Arial"/>
          <w:b/>
          <w:sz w:val="24"/>
          <w:szCs w:val="24"/>
        </w:rPr>
        <w:lastRenderedPageBreak/>
        <w:t>e</w:t>
      </w:r>
      <w:r w:rsidR="00416D9D" w:rsidRPr="008D4557">
        <w:rPr>
          <w:rFonts w:ascii="Arial" w:hAnsi="Arial" w:cs="Arial"/>
          <w:b/>
          <w:sz w:val="24"/>
          <w:szCs w:val="24"/>
        </w:rPr>
        <w:t>Table1.-Multistate transition model, Cox Proportional Model with stratified hazard (by transition type)</w:t>
      </w:r>
    </w:p>
    <w:tbl>
      <w:tblPr>
        <w:tblW w:w="13730" w:type="dxa"/>
        <w:tblCellMar>
          <w:left w:w="28" w:type="dxa"/>
          <w:right w:w="28" w:type="dxa"/>
        </w:tblCellMar>
        <w:tblLook w:val="04A0" w:firstRow="1" w:lastRow="0" w:firstColumn="1" w:lastColumn="0" w:noHBand="0" w:noVBand="1"/>
      </w:tblPr>
      <w:tblGrid>
        <w:gridCol w:w="1851"/>
        <w:gridCol w:w="180"/>
        <w:gridCol w:w="180"/>
        <w:gridCol w:w="706"/>
        <w:gridCol w:w="671"/>
        <w:gridCol w:w="514"/>
        <w:gridCol w:w="514"/>
        <w:gridCol w:w="907"/>
        <w:gridCol w:w="415"/>
        <w:gridCol w:w="706"/>
        <w:gridCol w:w="671"/>
        <w:gridCol w:w="514"/>
        <w:gridCol w:w="617"/>
        <w:gridCol w:w="907"/>
        <w:gridCol w:w="415"/>
        <w:gridCol w:w="706"/>
        <w:gridCol w:w="671"/>
        <w:gridCol w:w="514"/>
        <w:gridCol w:w="680"/>
        <w:gridCol w:w="150"/>
        <w:gridCol w:w="757"/>
        <w:gridCol w:w="150"/>
        <w:gridCol w:w="265"/>
        <w:gridCol w:w="150"/>
      </w:tblGrid>
      <w:tr w:rsidR="008D4557" w:rsidRPr="00CF4F3C" w14:paraId="060AD867" w14:textId="77777777" w:rsidTr="00416D9D">
        <w:trPr>
          <w:gridAfter w:val="1"/>
          <w:wAfter w:w="150" w:type="dxa"/>
          <w:trHeight w:val="227"/>
        </w:trPr>
        <w:tc>
          <w:tcPr>
            <w:tcW w:w="1851" w:type="dxa"/>
            <w:tcBorders>
              <w:top w:val="single" w:sz="4" w:space="0" w:color="auto"/>
              <w:left w:val="nil"/>
              <w:bottom w:val="nil"/>
              <w:right w:val="nil"/>
            </w:tcBorders>
            <w:shd w:val="clear" w:color="auto" w:fill="auto"/>
            <w:vAlign w:val="center"/>
            <w:hideMark/>
          </w:tcPr>
          <w:p w14:paraId="1B243076" w14:textId="77777777" w:rsidR="00416D9D" w:rsidRPr="00BB208C" w:rsidRDefault="00416D9D" w:rsidP="00416D9D">
            <w:pPr>
              <w:spacing w:after="0" w:line="240" w:lineRule="auto"/>
              <w:jc w:val="right"/>
              <w:rPr>
                <w:rFonts w:ascii="Times New Roman" w:eastAsia="Times New Roman" w:hAnsi="Times New Roman" w:cs="Times New Roman"/>
                <w:b/>
                <w:bCs/>
                <w:i/>
                <w:iCs/>
                <w:color w:val="000000"/>
                <w:sz w:val="18"/>
                <w:szCs w:val="18"/>
                <w:lang w:eastAsia="es-ES"/>
              </w:rPr>
            </w:pPr>
            <w:r w:rsidRPr="00BB208C">
              <w:rPr>
                <w:rFonts w:ascii="Times New Roman" w:eastAsia="Times New Roman" w:hAnsi="Times New Roman" w:cs="Times New Roman"/>
                <w:b/>
                <w:bCs/>
                <w:i/>
                <w:iCs/>
                <w:color w:val="000000"/>
                <w:sz w:val="18"/>
                <w:szCs w:val="18"/>
                <w:lang w:eastAsia="es-ES"/>
              </w:rPr>
              <w:t> </w:t>
            </w:r>
          </w:p>
        </w:tc>
        <w:tc>
          <w:tcPr>
            <w:tcW w:w="180" w:type="dxa"/>
            <w:tcBorders>
              <w:top w:val="single" w:sz="4" w:space="0" w:color="auto"/>
              <w:left w:val="nil"/>
              <w:bottom w:val="nil"/>
              <w:right w:val="nil"/>
            </w:tcBorders>
            <w:shd w:val="clear" w:color="auto" w:fill="auto"/>
            <w:vAlign w:val="center"/>
            <w:hideMark/>
          </w:tcPr>
          <w:p w14:paraId="5663F0FD" w14:textId="77777777" w:rsidR="00416D9D" w:rsidRPr="00BB208C" w:rsidRDefault="00416D9D" w:rsidP="00416D9D">
            <w:pPr>
              <w:spacing w:after="0" w:line="240" w:lineRule="auto"/>
              <w:jc w:val="right"/>
              <w:rPr>
                <w:rFonts w:ascii="Times New Roman" w:eastAsia="Times New Roman" w:hAnsi="Times New Roman" w:cs="Times New Roman"/>
                <w:b/>
                <w:bCs/>
                <w:i/>
                <w:iCs/>
                <w:color w:val="000000"/>
                <w:sz w:val="18"/>
                <w:szCs w:val="18"/>
                <w:lang w:eastAsia="es-ES"/>
              </w:rPr>
            </w:pPr>
            <w:r w:rsidRPr="00BB208C">
              <w:rPr>
                <w:rFonts w:ascii="Times New Roman" w:eastAsia="Times New Roman" w:hAnsi="Times New Roman" w:cs="Times New Roman"/>
                <w:b/>
                <w:bCs/>
                <w:i/>
                <w:iCs/>
                <w:color w:val="000000"/>
                <w:sz w:val="18"/>
                <w:szCs w:val="18"/>
                <w:lang w:eastAsia="es-ES"/>
              </w:rPr>
              <w:t> </w:t>
            </w:r>
          </w:p>
        </w:tc>
        <w:tc>
          <w:tcPr>
            <w:tcW w:w="180" w:type="dxa"/>
            <w:tcBorders>
              <w:top w:val="single" w:sz="4" w:space="0" w:color="auto"/>
              <w:left w:val="single" w:sz="4" w:space="0" w:color="auto"/>
              <w:bottom w:val="nil"/>
              <w:right w:val="nil"/>
            </w:tcBorders>
            <w:shd w:val="clear" w:color="auto" w:fill="auto"/>
            <w:vAlign w:val="center"/>
            <w:hideMark/>
          </w:tcPr>
          <w:p w14:paraId="5320F6BF" w14:textId="77777777" w:rsidR="00416D9D" w:rsidRPr="00BB208C" w:rsidRDefault="00416D9D" w:rsidP="00416D9D">
            <w:pPr>
              <w:spacing w:after="0" w:line="240" w:lineRule="auto"/>
              <w:jc w:val="right"/>
              <w:rPr>
                <w:rFonts w:ascii="Times New Roman" w:eastAsia="Times New Roman" w:hAnsi="Times New Roman" w:cs="Times New Roman"/>
                <w:b/>
                <w:bCs/>
                <w:i/>
                <w:iCs/>
                <w:color w:val="000000"/>
                <w:sz w:val="18"/>
                <w:szCs w:val="18"/>
                <w:lang w:eastAsia="es-ES"/>
              </w:rPr>
            </w:pPr>
            <w:r w:rsidRPr="00BB208C">
              <w:rPr>
                <w:rFonts w:ascii="Times New Roman" w:eastAsia="Times New Roman" w:hAnsi="Times New Roman" w:cs="Times New Roman"/>
                <w:b/>
                <w:bCs/>
                <w:i/>
                <w:iCs/>
                <w:color w:val="000000"/>
                <w:sz w:val="18"/>
                <w:szCs w:val="18"/>
                <w:lang w:eastAsia="es-ES"/>
              </w:rPr>
              <w:t> </w:t>
            </w:r>
          </w:p>
        </w:tc>
        <w:tc>
          <w:tcPr>
            <w:tcW w:w="679" w:type="dxa"/>
            <w:tcBorders>
              <w:top w:val="single" w:sz="4" w:space="0" w:color="auto"/>
              <w:left w:val="nil"/>
              <w:bottom w:val="nil"/>
              <w:right w:val="nil"/>
            </w:tcBorders>
            <w:shd w:val="clear" w:color="auto" w:fill="auto"/>
            <w:vAlign w:val="center"/>
            <w:hideMark/>
          </w:tcPr>
          <w:p w14:paraId="32A6D940" w14:textId="77777777" w:rsidR="00416D9D" w:rsidRPr="008D4557" w:rsidRDefault="00416D9D" w:rsidP="00416D9D">
            <w:pPr>
              <w:spacing w:after="0" w:line="240" w:lineRule="auto"/>
              <w:jc w:val="right"/>
              <w:rPr>
                <w:rFonts w:ascii="Arial" w:eastAsia="Times New Roman" w:hAnsi="Arial" w:cs="Arial"/>
                <w:b/>
                <w:bCs/>
                <w:i/>
                <w:iCs/>
                <w:color w:val="000000"/>
                <w:sz w:val="20"/>
                <w:szCs w:val="20"/>
                <w:lang w:eastAsia="es-ES"/>
              </w:rPr>
            </w:pPr>
            <w:r w:rsidRPr="008D4557">
              <w:rPr>
                <w:rFonts w:ascii="Arial" w:eastAsia="Times New Roman" w:hAnsi="Arial" w:cs="Arial"/>
                <w:b/>
                <w:bCs/>
                <w:i/>
                <w:iCs/>
                <w:color w:val="000000"/>
                <w:sz w:val="20"/>
                <w:szCs w:val="20"/>
                <w:lang w:eastAsia="es-ES"/>
              </w:rPr>
              <w:t> </w:t>
            </w:r>
          </w:p>
        </w:tc>
        <w:tc>
          <w:tcPr>
            <w:tcW w:w="671" w:type="dxa"/>
            <w:tcBorders>
              <w:top w:val="single" w:sz="4" w:space="0" w:color="auto"/>
              <w:left w:val="nil"/>
              <w:bottom w:val="nil"/>
              <w:right w:val="nil"/>
            </w:tcBorders>
            <w:shd w:val="clear" w:color="auto" w:fill="auto"/>
            <w:vAlign w:val="center"/>
            <w:hideMark/>
          </w:tcPr>
          <w:p w14:paraId="45E93A40" w14:textId="77777777" w:rsidR="00416D9D" w:rsidRPr="008D4557" w:rsidRDefault="00416D9D" w:rsidP="00416D9D">
            <w:pPr>
              <w:spacing w:after="0" w:line="240" w:lineRule="auto"/>
              <w:jc w:val="right"/>
              <w:rPr>
                <w:rFonts w:ascii="Arial" w:eastAsia="Times New Roman" w:hAnsi="Arial" w:cs="Arial"/>
                <w:b/>
                <w:bCs/>
                <w:i/>
                <w:iCs/>
                <w:color w:val="000000"/>
                <w:sz w:val="20"/>
                <w:szCs w:val="20"/>
                <w:lang w:eastAsia="es-ES"/>
              </w:rPr>
            </w:pPr>
            <w:r w:rsidRPr="008D4557">
              <w:rPr>
                <w:rFonts w:ascii="Arial" w:eastAsia="Times New Roman" w:hAnsi="Arial" w:cs="Arial"/>
                <w:b/>
                <w:bCs/>
                <w:i/>
                <w:iCs/>
                <w:color w:val="000000"/>
                <w:sz w:val="20"/>
                <w:szCs w:val="20"/>
                <w:lang w:eastAsia="es-ES"/>
              </w:rPr>
              <w:t> </w:t>
            </w:r>
          </w:p>
        </w:tc>
        <w:tc>
          <w:tcPr>
            <w:tcW w:w="514" w:type="dxa"/>
            <w:tcBorders>
              <w:top w:val="single" w:sz="4" w:space="0" w:color="auto"/>
              <w:left w:val="nil"/>
              <w:bottom w:val="nil"/>
              <w:right w:val="nil"/>
            </w:tcBorders>
            <w:shd w:val="clear" w:color="auto" w:fill="auto"/>
            <w:noWrap/>
            <w:vAlign w:val="center"/>
            <w:hideMark/>
          </w:tcPr>
          <w:p w14:paraId="1F6C8677" w14:textId="77777777" w:rsidR="00416D9D" w:rsidRPr="008D4557" w:rsidRDefault="00416D9D" w:rsidP="00416D9D">
            <w:pPr>
              <w:spacing w:after="0" w:line="240" w:lineRule="auto"/>
              <w:jc w:val="right"/>
              <w:rPr>
                <w:rFonts w:ascii="Arial" w:eastAsia="Times New Roman" w:hAnsi="Arial" w:cs="Arial"/>
                <w:b/>
                <w:bCs/>
                <w:color w:val="000000"/>
                <w:sz w:val="20"/>
                <w:szCs w:val="20"/>
                <w:lang w:eastAsia="es-ES"/>
              </w:rPr>
            </w:pPr>
            <w:r w:rsidRPr="008D4557">
              <w:rPr>
                <w:rFonts w:ascii="Arial" w:eastAsia="Times New Roman" w:hAnsi="Arial" w:cs="Arial"/>
                <w:b/>
                <w:bCs/>
                <w:color w:val="000000"/>
                <w:sz w:val="20"/>
                <w:szCs w:val="20"/>
                <w:lang w:eastAsia="es-ES"/>
              </w:rPr>
              <w:t> </w:t>
            </w:r>
          </w:p>
        </w:tc>
        <w:tc>
          <w:tcPr>
            <w:tcW w:w="514" w:type="dxa"/>
            <w:tcBorders>
              <w:top w:val="single" w:sz="4" w:space="0" w:color="auto"/>
              <w:left w:val="nil"/>
              <w:bottom w:val="nil"/>
              <w:right w:val="nil"/>
            </w:tcBorders>
            <w:shd w:val="clear" w:color="auto" w:fill="auto"/>
            <w:noWrap/>
            <w:vAlign w:val="center"/>
            <w:hideMark/>
          </w:tcPr>
          <w:p w14:paraId="216F3536" w14:textId="77777777" w:rsidR="00416D9D" w:rsidRPr="008D4557" w:rsidRDefault="00416D9D" w:rsidP="00416D9D">
            <w:pPr>
              <w:spacing w:after="0" w:line="240" w:lineRule="auto"/>
              <w:jc w:val="right"/>
              <w:rPr>
                <w:rFonts w:ascii="Arial" w:eastAsia="Times New Roman" w:hAnsi="Arial" w:cs="Arial"/>
                <w:b/>
                <w:bCs/>
                <w:color w:val="000000"/>
                <w:sz w:val="20"/>
                <w:szCs w:val="20"/>
                <w:lang w:eastAsia="es-ES"/>
              </w:rPr>
            </w:pPr>
            <w:r w:rsidRPr="008D4557">
              <w:rPr>
                <w:rFonts w:ascii="Arial" w:eastAsia="Times New Roman" w:hAnsi="Arial" w:cs="Arial"/>
                <w:b/>
                <w:bCs/>
                <w:color w:val="000000"/>
                <w:sz w:val="20"/>
                <w:szCs w:val="20"/>
                <w:lang w:eastAsia="es-ES"/>
              </w:rPr>
              <w:t> </w:t>
            </w:r>
          </w:p>
        </w:tc>
        <w:tc>
          <w:tcPr>
            <w:tcW w:w="907" w:type="dxa"/>
            <w:tcBorders>
              <w:top w:val="single" w:sz="4" w:space="0" w:color="auto"/>
              <w:left w:val="nil"/>
              <w:bottom w:val="nil"/>
              <w:right w:val="nil"/>
            </w:tcBorders>
            <w:shd w:val="clear" w:color="auto" w:fill="auto"/>
            <w:noWrap/>
            <w:vAlign w:val="center"/>
            <w:hideMark/>
          </w:tcPr>
          <w:p w14:paraId="42591203" w14:textId="77777777" w:rsidR="00416D9D" w:rsidRPr="008D4557" w:rsidRDefault="00416D9D" w:rsidP="00416D9D">
            <w:pPr>
              <w:spacing w:after="0" w:line="240" w:lineRule="auto"/>
              <w:jc w:val="right"/>
              <w:rPr>
                <w:rFonts w:ascii="Arial" w:eastAsia="Times New Roman" w:hAnsi="Arial" w:cs="Arial"/>
                <w:b/>
                <w:bCs/>
                <w:color w:val="000000"/>
                <w:sz w:val="20"/>
                <w:szCs w:val="20"/>
                <w:lang w:eastAsia="es-ES"/>
              </w:rPr>
            </w:pPr>
            <w:r w:rsidRPr="008D4557">
              <w:rPr>
                <w:rFonts w:ascii="Arial" w:eastAsia="Times New Roman" w:hAnsi="Arial" w:cs="Arial"/>
                <w:b/>
                <w:bCs/>
                <w:color w:val="000000"/>
                <w:sz w:val="20"/>
                <w:szCs w:val="20"/>
                <w:lang w:eastAsia="es-ES"/>
              </w:rPr>
              <w:t> </w:t>
            </w:r>
          </w:p>
        </w:tc>
        <w:tc>
          <w:tcPr>
            <w:tcW w:w="415" w:type="dxa"/>
            <w:tcBorders>
              <w:top w:val="single" w:sz="4" w:space="0" w:color="auto"/>
              <w:left w:val="nil"/>
              <w:bottom w:val="nil"/>
              <w:right w:val="nil"/>
            </w:tcBorders>
            <w:shd w:val="clear" w:color="auto" w:fill="auto"/>
            <w:noWrap/>
            <w:vAlign w:val="center"/>
            <w:hideMark/>
          </w:tcPr>
          <w:p w14:paraId="6E14DC2C" w14:textId="77777777" w:rsidR="00416D9D" w:rsidRPr="008D4557" w:rsidRDefault="00416D9D" w:rsidP="00416D9D">
            <w:pPr>
              <w:spacing w:after="0" w:line="240" w:lineRule="auto"/>
              <w:jc w:val="right"/>
              <w:rPr>
                <w:rFonts w:ascii="Arial" w:eastAsia="Times New Roman" w:hAnsi="Arial" w:cs="Arial"/>
                <w:b/>
                <w:bCs/>
                <w:color w:val="000000"/>
                <w:sz w:val="20"/>
                <w:szCs w:val="20"/>
                <w:lang w:eastAsia="es-ES"/>
              </w:rPr>
            </w:pPr>
            <w:r w:rsidRPr="008D4557">
              <w:rPr>
                <w:rFonts w:ascii="Arial" w:eastAsia="Times New Roman" w:hAnsi="Arial" w:cs="Arial"/>
                <w:b/>
                <w:bCs/>
                <w:color w:val="000000"/>
                <w:sz w:val="20"/>
                <w:szCs w:val="20"/>
                <w:lang w:eastAsia="es-ES"/>
              </w:rPr>
              <w:t> </w:t>
            </w:r>
          </w:p>
        </w:tc>
        <w:tc>
          <w:tcPr>
            <w:tcW w:w="679" w:type="dxa"/>
            <w:tcBorders>
              <w:top w:val="single" w:sz="4" w:space="0" w:color="auto"/>
              <w:left w:val="single" w:sz="4" w:space="0" w:color="auto"/>
              <w:bottom w:val="nil"/>
              <w:right w:val="nil"/>
            </w:tcBorders>
            <w:shd w:val="clear" w:color="auto" w:fill="auto"/>
            <w:noWrap/>
            <w:vAlign w:val="center"/>
            <w:hideMark/>
          </w:tcPr>
          <w:p w14:paraId="314F7115"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color w:val="000000"/>
                <w:sz w:val="20"/>
                <w:szCs w:val="20"/>
                <w:lang w:eastAsia="es-ES"/>
              </w:rPr>
              <w:t> </w:t>
            </w:r>
          </w:p>
        </w:tc>
        <w:tc>
          <w:tcPr>
            <w:tcW w:w="671" w:type="dxa"/>
            <w:tcBorders>
              <w:top w:val="single" w:sz="4" w:space="0" w:color="auto"/>
              <w:left w:val="nil"/>
              <w:bottom w:val="nil"/>
              <w:right w:val="nil"/>
            </w:tcBorders>
            <w:shd w:val="clear" w:color="auto" w:fill="auto"/>
            <w:noWrap/>
            <w:vAlign w:val="center"/>
            <w:hideMark/>
          </w:tcPr>
          <w:p w14:paraId="4FB1F816"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color w:val="000000"/>
                <w:sz w:val="20"/>
                <w:szCs w:val="20"/>
                <w:lang w:eastAsia="es-ES"/>
              </w:rPr>
              <w:t> </w:t>
            </w:r>
          </w:p>
        </w:tc>
        <w:tc>
          <w:tcPr>
            <w:tcW w:w="514" w:type="dxa"/>
            <w:tcBorders>
              <w:top w:val="single" w:sz="4" w:space="0" w:color="auto"/>
              <w:left w:val="nil"/>
              <w:bottom w:val="nil"/>
              <w:right w:val="nil"/>
            </w:tcBorders>
            <w:shd w:val="clear" w:color="auto" w:fill="auto"/>
            <w:noWrap/>
            <w:vAlign w:val="center"/>
            <w:hideMark/>
          </w:tcPr>
          <w:p w14:paraId="79874C70"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color w:val="000000"/>
                <w:sz w:val="20"/>
                <w:szCs w:val="20"/>
                <w:lang w:eastAsia="es-ES"/>
              </w:rPr>
              <w:t> </w:t>
            </w:r>
          </w:p>
        </w:tc>
        <w:tc>
          <w:tcPr>
            <w:tcW w:w="617" w:type="dxa"/>
            <w:tcBorders>
              <w:top w:val="single" w:sz="4" w:space="0" w:color="auto"/>
              <w:left w:val="nil"/>
              <w:bottom w:val="nil"/>
              <w:right w:val="nil"/>
            </w:tcBorders>
            <w:shd w:val="clear" w:color="auto" w:fill="auto"/>
            <w:noWrap/>
            <w:vAlign w:val="center"/>
            <w:hideMark/>
          </w:tcPr>
          <w:p w14:paraId="568C6CD5"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color w:val="000000"/>
                <w:sz w:val="20"/>
                <w:szCs w:val="20"/>
                <w:lang w:eastAsia="es-ES"/>
              </w:rPr>
              <w:t> </w:t>
            </w:r>
          </w:p>
        </w:tc>
        <w:tc>
          <w:tcPr>
            <w:tcW w:w="907" w:type="dxa"/>
            <w:tcBorders>
              <w:top w:val="single" w:sz="4" w:space="0" w:color="auto"/>
              <w:left w:val="nil"/>
              <w:bottom w:val="nil"/>
              <w:right w:val="nil"/>
            </w:tcBorders>
            <w:shd w:val="clear" w:color="auto" w:fill="auto"/>
            <w:noWrap/>
            <w:vAlign w:val="center"/>
            <w:hideMark/>
          </w:tcPr>
          <w:p w14:paraId="643802DD"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color w:val="000000"/>
                <w:sz w:val="20"/>
                <w:szCs w:val="20"/>
                <w:lang w:eastAsia="es-ES"/>
              </w:rPr>
              <w:t> </w:t>
            </w:r>
          </w:p>
        </w:tc>
        <w:tc>
          <w:tcPr>
            <w:tcW w:w="415" w:type="dxa"/>
            <w:tcBorders>
              <w:top w:val="single" w:sz="4" w:space="0" w:color="auto"/>
              <w:left w:val="nil"/>
              <w:bottom w:val="nil"/>
              <w:right w:val="nil"/>
            </w:tcBorders>
            <w:shd w:val="clear" w:color="auto" w:fill="auto"/>
            <w:noWrap/>
            <w:vAlign w:val="center"/>
            <w:hideMark/>
          </w:tcPr>
          <w:p w14:paraId="53D2D02B"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color w:val="000000"/>
                <w:sz w:val="20"/>
                <w:szCs w:val="20"/>
                <w:lang w:eastAsia="es-ES"/>
              </w:rPr>
              <w:t> </w:t>
            </w:r>
          </w:p>
        </w:tc>
        <w:tc>
          <w:tcPr>
            <w:tcW w:w="679" w:type="dxa"/>
            <w:tcBorders>
              <w:top w:val="single" w:sz="4" w:space="0" w:color="auto"/>
              <w:left w:val="single" w:sz="4" w:space="0" w:color="auto"/>
              <w:bottom w:val="nil"/>
              <w:right w:val="nil"/>
            </w:tcBorders>
            <w:shd w:val="clear" w:color="auto" w:fill="auto"/>
            <w:noWrap/>
            <w:vAlign w:val="center"/>
            <w:hideMark/>
          </w:tcPr>
          <w:p w14:paraId="5988F370"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color w:val="000000"/>
                <w:sz w:val="20"/>
                <w:szCs w:val="20"/>
                <w:lang w:eastAsia="es-ES"/>
              </w:rPr>
              <w:t> </w:t>
            </w:r>
          </w:p>
        </w:tc>
        <w:tc>
          <w:tcPr>
            <w:tcW w:w="671" w:type="dxa"/>
            <w:tcBorders>
              <w:top w:val="single" w:sz="4" w:space="0" w:color="auto"/>
              <w:left w:val="nil"/>
              <w:bottom w:val="nil"/>
              <w:right w:val="nil"/>
            </w:tcBorders>
            <w:shd w:val="clear" w:color="auto" w:fill="auto"/>
            <w:noWrap/>
            <w:vAlign w:val="center"/>
            <w:hideMark/>
          </w:tcPr>
          <w:p w14:paraId="75EFE627"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color w:val="000000"/>
                <w:sz w:val="20"/>
                <w:szCs w:val="20"/>
                <w:lang w:eastAsia="es-ES"/>
              </w:rPr>
              <w:t> </w:t>
            </w:r>
          </w:p>
        </w:tc>
        <w:tc>
          <w:tcPr>
            <w:tcW w:w="514" w:type="dxa"/>
            <w:tcBorders>
              <w:top w:val="single" w:sz="4" w:space="0" w:color="auto"/>
              <w:left w:val="nil"/>
              <w:bottom w:val="nil"/>
              <w:right w:val="nil"/>
            </w:tcBorders>
            <w:shd w:val="clear" w:color="auto" w:fill="auto"/>
            <w:noWrap/>
            <w:vAlign w:val="center"/>
            <w:hideMark/>
          </w:tcPr>
          <w:p w14:paraId="0F5D578A"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color w:val="000000"/>
                <w:sz w:val="20"/>
                <w:szCs w:val="20"/>
                <w:lang w:eastAsia="es-ES"/>
              </w:rPr>
              <w:t> </w:t>
            </w:r>
          </w:p>
        </w:tc>
        <w:tc>
          <w:tcPr>
            <w:tcW w:w="680" w:type="dxa"/>
            <w:tcBorders>
              <w:top w:val="single" w:sz="4" w:space="0" w:color="auto"/>
              <w:left w:val="nil"/>
              <w:bottom w:val="nil"/>
              <w:right w:val="nil"/>
            </w:tcBorders>
            <w:shd w:val="clear" w:color="auto" w:fill="auto"/>
            <w:noWrap/>
            <w:vAlign w:val="center"/>
            <w:hideMark/>
          </w:tcPr>
          <w:p w14:paraId="0AF3F5DE" w14:textId="77777777" w:rsidR="00416D9D" w:rsidRPr="00BB208C" w:rsidRDefault="00416D9D" w:rsidP="00416D9D">
            <w:pPr>
              <w:spacing w:after="0" w:line="240" w:lineRule="auto"/>
              <w:jc w:val="right"/>
              <w:rPr>
                <w:rFonts w:ascii="Times New Roman" w:eastAsia="Times New Roman" w:hAnsi="Times New Roman" w:cs="Times New Roman"/>
                <w:color w:val="000000"/>
                <w:sz w:val="18"/>
                <w:szCs w:val="18"/>
                <w:lang w:eastAsia="es-ES"/>
              </w:rPr>
            </w:pPr>
            <w:r w:rsidRPr="00BB208C">
              <w:rPr>
                <w:rFonts w:ascii="Times New Roman" w:eastAsia="Times New Roman" w:hAnsi="Times New Roman" w:cs="Times New Roman"/>
                <w:color w:val="000000"/>
                <w:sz w:val="18"/>
                <w:szCs w:val="18"/>
                <w:lang w:eastAsia="es-ES"/>
              </w:rPr>
              <w:t> </w:t>
            </w:r>
          </w:p>
        </w:tc>
        <w:tc>
          <w:tcPr>
            <w:tcW w:w="907" w:type="dxa"/>
            <w:gridSpan w:val="2"/>
            <w:tcBorders>
              <w:top w:val="single" w:sz="4" w:space="0" w:color="auto"/>
              <w:left w:val="nil"/>
              <w:bottom w:val="nil"/>
              <w:right w:val="nil"/>
            </w:tcBorders>
            <w:shd w:val="clear" w:color="auto" w:fill="auto"/>
            <w:noWrap/>
            <w:vAlign w:val="center"/>
            <w:hideMark/>
          </w:tcPr>
          <w:p w14:paraId="4C2C09FC" w14:textId="77777777" w:rsidR="00416D9D" w:rsidRPr="00BB208C" w:rsidRDefault="00416D9D" w:rsidP="00416D9D">
            <w:pPr>
              <w:spacing w:after="0" w:line="240" w:lineRule="auto"/>
              <w:jc w:val="right"/>
              <w:rPr>
                <w:rFonts w:ascii="Times New Roman" w:eastAsia="Times New Roman" w:hAnsi="Times New Roman" w:cs="Times New Roman"/>
                <w:color w:val="000000"/>
                <w:sz w:val="18"/>
                <w:szCs w:val="18"/>
                <w:lang w:eastAsia="es-ES"/>
              </w:rPr>
            </w:pPr>
            <w:r w:rsidRPr="00BB208C">
              <w:rPr>
                <w:rFonts w:ascii="Times New Roman" w:eastAsia="Times New Roman" w:hAnsi="Times New Roman" w:cs="Times New Roman"/>
                <w:color w:val="000000"/>
                <w:sz w:val="18"/>
                <w:szCs w:val="18"/>
                <w:lang w:eastAsia="es-ES"/>
              </w:rPr>
              <w:t> </w:t>
            </w:r>
          </w:p>
        </w:tc>
        <w:tc>
          <w:tcPr>
            <w:tcW w:w="415" w:type="dxa"/>
            <w:gridSpan w:val="2"/>
            <w:tcBorders>
              <w:top w:val="single" w:sz="4" w:space="0" w:color="auto"/>
              <w:left w:val="nil"/>
              <w:bottom w:val="nil"/>
              <w:right w:val="nil"/>
            </w:tcBorders>
            <w:shd w:val="clear" w:color="auto" w:fill="auto"/>
            <w:noWrap/>
            <w:vAlign w:val="center"/>
            <w:hideMark/>
          </w:tcPr>
          <w:p w14:paraId="5087D533" w14:textId="77777777" w:rsidR="00416D9D" w:rsidRPr="00BB208C" w:rsidRDefault="00416D9D" w:rsidP="00416D9D">
            <w:pPr>
              <w:spacing w:after="0" w:line="240" w:lineRule="auto"/>
              <w:jc w:val="right"/>
              <w:rPr>
                <w:rFonts w:ascii="Times New Roman" w:eastAsia="Times New Roman" w:hAnsi="Times New Roman" w:cs="Times New Roman"/>
                <w:color w:val="000000"/>
                <w:sz w:val="18"/>
                <w:szCs w:val="18"/>
                <w:lang w:eastAsia="es-ES"/>
              </w:rPr>
            </w:pPr>
            <w:r w:rsidRPr="00BB208C">
              <w:rPr>
                <w:rFonts w:ascii="Times New Roman" w:eastAsia="Times New Roman" w:hAnsi="Times New Roman" w:cs="Times New Roman"/>
                <w:color w:val="000000"/>
                <w:sz w:val="18"/>
                <w:szCs w:val="18"/>
                <w:lang w:eastAsia="es-ES"/>
              </w:rPr>
              <w:t> </w:t>
            </w:r>
          </w:p>
        </w:tc>
      </w:tr>
      <w:tr w:rsidR="00416D9D" w:rsidRPr="008D4557" w14:paraId="0BB715EF" w14:textId="77777777" w:rsidTr="00416D9D">
        <w:trPr>
          <w:trHeight w:val="227"/>
        </w:trPr>
        <w:tc>
          <w:tcPr>
            <w:tcW w:w="1851" w:type="dxa"/>
            <w:tcBorders>
              <w:top w:val="nil"/>
              <w:left w:val="nil"/>
              <w:bottom w:val="nil"/>
              <w:right w:val="nil"/>
            </w:tcBorders>
            <w:shd w:val="clear" w:color="auto" w:fill="auto"/>
            <w:noWrap/>
            <w:vAlign w:val="center"/>
            <w:hideMark/>
          </w:tcPr>
          <w:p w14:paraId="691C96D8" w14:textId="77777777" w:rsidR="00416D9D" w:rsidRPr="008D4557" w:rsidRDefault="00416D9D" w:rsidP="00416D9D">
            <w:pPr>
              <w:spacing w:after="0" w:line="240" w:lineRule="auto"/>
              <w:jc w:val="right"/>
              <w:rPr>
                <w:rFonts w:ascii="Arial" w:eastAsia="Times New Roman" w:hAnsi="Arial" w:cs="Arial"/>
                <w:color w:val="000000"/>
                <w:sz w:val="20"/>
                <w:szCs w:val="20"/>
                <w:lang w:eastAsia="es-ES"/>
              </w:rPr>
            </w:pPr>
          </w:p>
        </w:tc>
        <w:tc>
          <w:tcPr>
            <w:tcW w:w="180" w:type="dxa"/>
            <w:tcBorders>
              <w:top w:val="nil"/>
              <w:left w:val="nil"/>
              <w:bottom w:val="nil"/>
              <w:right w:val="nil"/>
            </w:tcBorders>
            <w:shd w:val="clear" w:color="auto" w:fill="auto"/>
            <w:vAlign w:val="center"/>
            <w:hideMark/>
          </w:tcPr>
          <w:p w14:paraId="08D3DBDA"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eastAsia="es-ES"/>
              </w:rPr>
            </w:pPr>
          </w:p>
        </w:tc>
        <w:tc>
          <w:tcPr>
            <w:tcW w:w="180" w:type="dxa"/>
            <w:tcBorders>
              <w:top w:val="nil"/>
              <w:left w:val="single" w:sz="4" w:space="0" w:color="auto"/>
              <w:bottom w:val="nil"/>
              <w:right w:val="nil"/>
            </w:tcBorders>
            <w:shd w:val="clear" w:color="auto" w:fill="auto"/>
            <w:vAlign w:val="center"/>
            <w:hideMark/>
          </w:tcPr>
          <w:p w14:paraId="42A5E594"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eastAsia="es-ES"/>
              </w:rPr>
            </w:pPr>
            <w:r w:rsidRPr="008D4557">
              <w:rPr>
                <w:rFonts w:ascii="Arial" w:eastAsia="Times New Roman" w:hAnsi="Arial" w:cs="Arial"/>
                <w:bCs/>
                <w:i/>
                <w:iCs/>
                <w:color w:val="000000"/>
                <w:sz w:val="20"/>
                <w:szCs w:val="20"/>
                <w:lang w:eastAsia="es-ES"/>
              </w:rPr>
              <w:t> </w:t>
            </w:r>
          </w:p>
        </w:tc>
        <w:tc>
          <w:tcPr>
            <w:tcW w:w="1864" w:type="dxa"/>
            <w:gridSpan w:val="3"/>
            <w:tcBorders>
              <w:top w:val="nil"/>
              <w:left w:val="nil"/>
              <w:bottom w:val="nil"/>
              <w:right w:val="nil"/>
            </w:tcBorders>
            <w:shd w:val="clear" w:color="auto" w:fill="auto"/>
            <w:noWrap/>
            <w:vAlign w:val="center"/>
            <w:hideMark/>
          </w:tcPr>
          <w:p w14:paraId="71653F1F"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r w:rsidRPr="008D4557">
              <w:rPr>
                <w:rFonts w:ascii="Arial" w:eastAsia="Times New Roman" w:hAnsi="Arial" w:cs="Arial"/>
                <w:b/>
                <w:bCs/>
                <w:i/>
                <w:iCs/>
                <w:color w:val="000000"/>
                <w:sz w:val="20"/>
                <w:szCs w:val="20"/>
                <w:lang w:eastAsia="es-ES"/>
              </w:rPr>
              <w:t>Health Deterioration</w:t>
            </w:r>
          </w:p>
        </w:tc>
        <w:tc>
          <w:tcPr>
            <w:tcW w:w="514" w:type="dxa"/>
            <w:tcBorders>
              <w:top w:val="nil"/>
              <w:left w:val="nil"/>
              <w:bottom w:val="nil"/>
              <w:right w:val="nil"/>
            </w:tcBorders>
            <w:shd w:val="clear" w:color="auto" w:fill="auto"/>
            <w:noWrap/>
            <w:vAlign w:val="center"/>
            <w:hideMark/>
          </w:tcPr>
          <w:p w14:paraId="543378BA"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p>
        </w:tc>
        <w:tc>
          <w:tcPr>
            <w:tcW w:w="907" w:type="dxa"/>
            <w:tcBorders>
              <w:top w:val="nil"/>
              <w:left w:val="nil"/>
              <w:bottom w:val="nil"/>
              <w:right w:val="nil"/>
            </w:tcBorders>
            <w:shd w:val="clear" w:color="auto" w:fill="auto"/>
            <w:noWrap/>
            <w:vAlign w:val="center"/>
            <w:hideMark/>
          </w:tcPr>
          <w:p w14:paraId="55AB6A22"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p>
        </w:tc>
        <w:tc>
          <w:tcPr>
            <w:tcW w:w="415" w:type="dxa"/>
            <w:tcBorders>
              <w:top w:val="nil"/>
              <w:left w:val="nil"/>
              <w:bottom w:val="nil"/>
              <w:right w:val="nil"/>
            </w:tcBorders>
            <w:shd w:val="clear" w:color="auto" w:fill="auto"/>
            <w:noWrap/>
            <w:vAlign w:val="center"/>
            <w:hideMark/>
          </w:tcPr>
          <w:p w14:paraId="2C139024"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p>
        </w:tc>
        <w:tc>
          <w:tcPr>
            <w:tcW w:w="1864" w:type="dxa"/>
            <w:gridSpan w:val="3"/>
            <w:tcBorders>
              <w:top w:val="nil"/>
              <w:left w:val="single" w:sz="4" w:space="0" w:color="auto"/>
              <w:bottom w:val="nil"/>
              <w:right w:val="nil"/>
            </w:tcBorders>
            <w:shd w:val="clear" w:color="auto" w:fill="auto"/>
            <w:noWrap/>
            <w:vAlign w:val="center"/>
            <w:hideMark/>
          </w:tcPr>
          <w:p w14:paraId="058D7D3D" w14:textId="77777777" w:rsidR="00416D9D" w:rsidRPr="008D4557" w:rsidRDefault="00416D9D" w:rsidP="00416D9D">
            <w:pPr>
              <w:spacing w:after="0" w:line="240" w:lineRule="auto"/>
              <w:jc w:val="right"/>
              <w:rPr>
                <w:rFonts w:ascii="Arial" w:eastAsia="Times New Roman" w:hAnsi="Arial" w:cs="Arial"/>
                <w:b/>
                <w:bCs/>
                <w:i/>
                <w:iCs/>
                <w:color w:val="000000"/>
                <w:sz w:val="20"/>
                <w:szCs w:val="20"/>
                <w:lang w:eastAsia="es-ES"/>
              </w:rPr>
            </w:pPr>
            <w:r w:rsidRPr="008D4557">
              <w:rPr>
                <w:rFonts w:ascii="Arial" w:eastAsia="Times New Roman" w:hAnsi="Arial" w:cs="Arial"/>
                <w:b/>
                <w:bCs/>
                <w:i/>
                <w:iCs/>
                <w:color w:val="000000"/>
                <w:sz w:val="20"/>
                <w:szCs w:val="20"/>
                <w:lang w:eastAsia="es-ES"/>
              </w:rPr>
              <w:t xml:space="preserve">  Health Improvement</w:t>
            </w:r>
          </w:p>
        </w:tc>
        <w:tc>
          <w:tcPr>
            <w:tcW w:w="617" w:type="dxa"/>
            <w:tcBorders>
              <w:top w:val="nil"/>
              <w:left w:val="nil"/>
              <w:bottom w:val="nil"/>
              <w:right w:val="nil"/>
            </w:tcBorders>
            <w:shd w:val="clear" w:color="auto" w:fill="auto"/>
            <w:noWrap/>
            <w:vAlign w:val="center"/>
            <w:hideMark/>
          </w:tcPr>
          <w:p w14:paraId="200A3D91"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p>
        </w:tc>
        <w:tc>
          <w:tcPr>
            <w:tcW w:w="907" w:type="dxa"/>
            <w:tcBorders>
              <w:top w:val="nil"/>
              <w:left w:val="nil"/>
              <w:bottom w:val="nil"/>
              <w:right w:val="nil"/>
            </w:tcBorders>
            <w:shd w:val="clear" w:color="auto" w:fill="auto"/>
            <w:noWrap/>
            <w:vAlign w:val="center"/>
            <w:hideMark/>
          </w:tcPr>
          <w:p w14:paraId="43E8A430"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p>
        </w:tc>
        <w:tc>
          <w:tcPr>
            <w:tcW w:w="415" w:type="dxa"/>
            <w:tcBorders>
              <w:top w:val="nil"/>
              <w:left w:val="nil"/>
              <w:bottom w:val="nil"/>
              <w:right w:val="nil"/>
            </w:tcBorders>
            <w:shd w:val="clear" w:color="auto" w:fill="auto"/>
            <w:noWrap/>
            <w:vAlign w:val="center"/>
            <w:hideMark/>
          </w:tcPr>
          <w:p w14:paraId="4EEFAE56" w14:textId="77777777" w:rsidR="00416D9D" w:rsidRPr="008D4557" w:rsidRDefault="00416D9D" w:rsidP="00416D9D">
            <w:pPr>
              <w:spacing w:after="0" w:line="240" w:lineRule="auto"/>
              <w:jc w:val="right"/>
              <w:rPr>
                <w:rFonts w:ascii="Arial" w:eastAsia="Times New Roman" w:hAnsi="Arial" w:cs="Arial"/>
                <w:b/>
                <w:color w:val="000000"/>
                <w:sz w:val="20"/>
                <w:szCs w:val="20"/>
                <w:lang w:eastAsia="es-ES"/>
              </w:rPr>
            </w:pPr>
          </w:p>
        </w:tc>
        <w:tc>
          <w:tcPr>
            <w:tcW w:w="1864" w:type="dxa"/>
            <w:gridSpan w:val="3"/>
            <w:tcBorders>
              <w:top w:val="nil"/>
              <w:left w:val="single" w:sz="4" w:space="0" w:color="auto"/>
              <w:bottom w:val="nil"/>
              <w:right w:val="nil"/>
            </w:tcBorders>
            <w:shd w:val="clear" w:color="auto" w:fill="auto"/>
            <w:noWrap/>
            <w:vAlign w:val="center"/>
            <w:hideMark/>
          </w:tcPr>
          <w:p w14:paraId="5BFFFE78" w14:textId="77777777" w:rsidR="00416D9D" w:rsidRPr="008D4557" w:rsidRDefault="00416D9D" w:rsidP="00416D9D">
            <w:pPr>
              <w:spacing w:after="0" w:line="240" w:lineRule="auto"/>
              <w:jc w:val="right"/>
              <w:rPr>
                <w:rFonts w:ascii="Arial" w:eastAsia="Times New Roman" w:hAnsi="Arial" w:cs="Arial"/>
                <w:b/>
                <w:bCs/>
                <w:i/>
                <w:iCs/>
                <w:color w:val="000000"/>
                <w:sz w:val="20"/>
                <w:szCs w:val="20"/>
                <w:lang w:eastAsia="es-ES"/>
              </w:rPr>
            </w:pPr>
            <w:r w:rsidRPr="008D4557">
              <w:rPr>
                <w:rFonts w:ascii="Arial" w:eastAsia="Times New Roman" w:hAnsi="Arial" w:cs="Arial"/>
                <w:b/>
                <w:bCs/>
                <w:i/>
                <w:iCs/>
                <w:color w:val="000000"/>
                <w:sz w:val="20"/>
                <w:szCs w:val="20"/>
                <w:lang w:eastAsia="es-ES"/>
              </w:rPr>
              <w:t xml:space="preserve">  Death from unhealthy</w:t>
            </w:r>
          </w:p>
        </w:tc>
        <w:tc>
          <w:tcPr>
            <w:tcW w:w="830" w:type="dxa"/>
            <w:gridSpan w:val="2"/>
            <w:tcBorders>
              <w:top w:val="nil"/>
              <w:left w:val="nil"/>
              <w:bottom w:val="nil"/>
              <w:right w:val="nil"/>
            </w:tcBorders>
            <w:shd w:val="clear" w:color="auto" w:fill="auto"/>
            <w:noWrap/>
            <w:vAlign w:val="center"/>
            <w:hideMark/>
          </w:tcPr>
          <w:p w14:paraId="06D22AA6" w14:textId="77777777" w:rsidR="00416D9D" w:rsidRPr="008D4557" w:rsidRDefault="00416D9D" w:rsidP="00416D9D">
            <w:pPr>
              <w:spacing w:after="0" w:line="240" w:lineRule="auto"/>
              <w:jc w:val="right"/>
              <w:rPr>
                <w:rFonts w:ascii="Arial" w:eastAsia="Times New Roman" w:hAnsi="Arial" w:cs="Arial"/>
                <w:color w:val="000000"/>
                <w:sz w:val="20"/>
                <w:szCs w:val="20"/>
                <w:lang w:eastAsia="es-ES"/>
              </w:rPr>
            </w:pPr>
          </w:p>
        </w:tc>
        <w:tc>
          <w:tcPr>
            <w:tcW w:w="907" w:type="dxa"/>
            <w:gridSpan w:val="2"/>
            <w:tcBorders>
              <w:top w:val="nil"/>
              <w:left w:val="nil"/>
              <w:bottom w:val="nil"/>
              <w:right w:val="nil"/>
            </w:tcBorders>
            <w:shd w:val="clear" w:color="auto" w:fill="auto"/>
            <w:noWrap/>
            <w:vAlign w:val="center"/>
            <w:hideMark/>
          </w:tcPr>
          <w:p w14:paraId="47BAC8BE" w14:textId="77777777" w:rsidR="00416D9D" w:rsidRPr="008D4557" w:rsidRDefault="00416D9D" w:rsidP="00416D9D">
            <w:pPr>
              <w:spacing w:after="0" w:line="240" w:lineRule="auto"/>
              <w:jc w:val="right"/>
              <w:rPr>
                <w:rFonts w:ascii="Arial" w:eastAsia="Times New Roman" w:hAnsi="Arial" w:cs="Arial"/>
                <w:color w:val="000000"/>
                <w:sz w:val="20"/>
                <w:szCs w:val="20"/>
                <w:lang w:eastAsia="es-ES"/>
              </w:rPr>
            </w:pPr>
          </w:p>
        </w:tc>
        <w:tc>
          <w:tcPr>
            <w:tcW w:w="415" w:type="dxa"/>
            <w:gridSpan w:val="2"/>
            <w:tcBorders>
              <w:top w:val="nil"/>
              <w:left w:val="nil"/>
              <w:bottom w:val="nil"/>
              <w:right w:val="nil"/>
            </w:tcBorders>
            <w:shd w:val="clear" w:color="auto" w:fill="auto"/>
            <w:noWrap/>
            <w:vAlign w:val="center"/>
            <w:hideMark/>
          </w:tcPr>
          <w:p w14:paraId="63B401D4" w14:textId="77777777" w:rsidR="00416D9D" w:rsidRPr="008D4557" w:rsidRDefault="00416D9D" w:rsidP="00416D9D">
            <w:pPr>
              <w:spacing w:after="0" w:line="240" w:lineRule="auto"/>
              <w:jc w:val="right"/>
              <w:rPr>
                <w:rFonts w:ascii="Arial" w:eastAsia="Times New Roman" w:hAnsi="Arial" w:cs="Arial"/>
                <w:color w:val="000000"/>
                <w:sz w:val="20"/>
                <w:szCs w:val="20"/>
                <w:lang w:eastAsia="es-ES"/>
              </w:rPr>
            </w:pPr>
          </w:p>
        </w:tc>
      </w:tr>
      <w:tr w:rsidR="008D4557" w:rsidRPr="008D4557" w14:paraId="1559027E" w14:textId="77777777" w:rsidTr="00416D9D">
        <w:trPr>
          <w:gridAfter w:val="1"/>
          <w:wAfter w:w="150" w:type="dxa"/>
          <w:trHeight w:val="227"/>
        </w:trPr>
        <w:tc>
          <w:tcPr>
            <w:tcW w:w="1851" w:type="dxa"/>
            <w:tcBorders>
              <w:top w:val="nil"/>
              <w:left w:val="nil"/>
              <w:bottom w:val="double" w:sz="6" w:space="0" w:color="auto"/>
              <w:right w:val="nil"/>
            </w:tcBorders>
            <w:shd w:val="clear" w:color="auto" w:fill="auto"/>
            <w:noWrap/>
            <w:vAlign w:val="center"/>
            <w:hideMark/>
          </w:tcPr>
          <w:p w14:paraId="09D1253B" w14:textId="77777777" w:rsidR="00416D9D" w:rsidRPr="008D4557" w:rsidRDefault="00416D9D" w:rsidP="00416D9D">
            <w:pPr>
              <w:spacing w:after="0" w:line="240" w:lineRule="auto"/>
              <w:jc w:val="right"/>
              <w:rPr>
                <w:rFonts w:ascii="Arial" w:eastAsia="Times New Roman" w:hAnsi="Arial" w:cs="Arial"/>
                <w:b/>
                <w:bCs/>
                <w:color w:val="000000"/>
                <w:sz w:val="20"/>
                <w:szCs w:val="20"/>
                <w:lang w:val="es-ES" w:eastAsia="es-ES"/>
              </w:rPr>
            </w:pPr>
            <w:r w:rsidRPr="008D4557">
              <w:rPr>
                <w:rFonts w:ascii="Arial" w:eastAsia="Times New Roman" w:hAnsi="Arial" w:cs="Arial"/>
                <w:b/>
                <w:bCs/>
                <w:color w:val="000000"/>
                <w:sz w:val="20"/>
                <w:szCs w:val="20"/>
                <w:lang w:eastAsia="es-ES"/>
              </w:rPr>
              <w:t xml:space="preserve">Fixed </w:t>
            </w:r>
            <w:proofErr w:type="spellStart"/>
            <w:r w:rsidRPr="008D4557">
              <w:rPr>
                <w:rFonts w:ascii="Arial" w:eastAsia="Times New Roman" w:hAnsi="Arial" w:cs="Arial"/>
                <w:b/>
                <w:bCs/>
                <w:color w:val="000000"/>
                <w:sz w:val="20"/>
                <w:szCs w:val="20"/>
                <w:lang w:eastAsia="es-ES"/>
              </w:rPr>
              <w:t>coe</w:t>
            </w:r>
            <w:r w:rsidRPr="008D4557">
              <w:rPr>
                <w:rFonts w:ascii="Arial" w:eastAsia="Times New Roman" w:hAnsi="Arial" w:cs="Arial"/>
                <w:b/>
                <w:bCs/>
                <w:color w:val="000000"/>
                <w:sz w:val="20"/>
                <w:szCs w:val="20"/>
                <w:lang w:val="es-ES" w:eastAsia="es-ES"/>
              </w:rPr>
              <w:t>fficients</w:t>
            </w:r>
            <w:proofErr w:type="spellEnd"/>
          </w:p>
        </w:tc>
        <w:tc>
          <w:tcPr>
            <w:tcW w:w="180" w:type="dxa"/>
            <w:tcBorders>
              <w:top w:val="nil"/>
              <w:left w:val="nil"/>
              <w:bottom w:val="double" w:sz="6" w:space="0" w:color="auto"/>
              <w:right w:val="nil"/>
            </w:tcBorders>
            <w:shd w:val="clear" w:color="auto" w:fill="auto"/>
            <w:noWrap/>
            <w:vAlign w:val="center"/>
            <w:hideMark/>
          </w:tcPr>
          <w:p w14:paraId="378DECC6" w14:textId="77777777" w:rsidR="00416D9D" w:rsidRPr="008D4557" w:rsidRDefault="00416D9D" w:rsidP="00416D9D">
            <w:pPr>
              <w:spacing w:after="0" w:line="240" w:lineRule="auto"/>
              <w:jc w:val="right"/>
              <w:rPr>
                <w:rFonts w:ascii="Arial" w:eastAsia="Times New Roman" w:hAnsi="Arial" w:cs="Arial"/>
                <w:bCs/>
                <w:color w:val="000000"/>
                <w:sz w:val="20"/>
                <w:szCs w:val="20"/>
                <w:lang w:val="es-ES" w:eastAsia="es-ES"/>
              </w:rPr>
            </w:pPr>
            <w:r w:rsidRPr="008D4557">
              <w:rPr>
                <w:rFonts w:ascii="Arial" w:eastAsia="Times New Roman" w:hAnsi="Arial" w:cs="Arial"/>
                <w:bCs/>
                <w:color w:val="000000"/>
                <w:sz w:val="20"/>
                <w:szCs w:val="20"/>
                <w:lang w:val="es-ES" w:eastAsia="es-ES"/>
              </w:rPr>
              <w:t> </w:t>
            </w:r>
          </w:p>
        </w:tc>
        <w:tc>
          <w:tcPr>
            <w:tcW w:w="180" w:type="dxa"/>
            <w:tcBorders>
              <w:top w:val="nil"/>
              <w:left w:val="single" w:sz="4" w:space="0" w:color="auto"/>
              <w:bottom w:val="double" w:sz="6" w:space="0" w:color="auto"/>
              <w:right w:val="nil"/>
            </w:tcBorders>
            <w:shd w:val="clear" w:color="auto" w:fill="auto"/>
            <w:noWrap/>
            <w:vAlign w:val="center"/>
            <w:hideMark/>
          </w:tcPr>
          <w:p w14:paraId="5AC14570" w14:textId="77777777" w:rsidR="00416D9D" w:rsidRPr="008D4557" w:rsidRDefault="00416D9D" w:rsidP="00416D9D">
            <w:pPr>
              <w:spacing w:after="0" w:line="240" w:lineRule="auto"/>
              <w:jc w:val="right"/>
              <w:rPr>
                <w:rFonts w:ascii="Arial" w:eastAsia="Times New Roman" w:hAnsi="Arial" w:cs="Arial"/>
                <w:bCs/>
                <w:color w:val="000000"/>
                <w:sz w:val="20"/>
                <w:szCs w:val="20"/>
                <w:lang w:val="es-ES" w:eastAsia="es-ES"/>
              </w:rPr>
            </w:pPr>
            <w:r w:rsidRPr="008D4557">
              <w:rPr>
                <w:rFonts w:ascii="Arial" w:eastAsia="Times New Roman" w:hAnsi="Arial" w:cs="Arial"/>
                <w:bCs/>
                <w:color w:val="000000"/>
                <w:sz w:val="20"/>
                <w:szCs w:val="20"/>
                <w:lang w:val="es-ES" w:eastAsia="es-ES"/>
              </w:rPr>
              <w:t> </w:t>
            </w:r>
          </w:p>
        </w:tc>
        <w:tc>
          <w:tcPr>
            <w:tcW w:w="679" w:type="dxa"/>
            <w:tcBorders>
              <w:top w:val="nil"/>
              <w:left w:val="nil"/>
              <w:bottom w:val="double" w:sz="6" w:space="0" w:color="auto"/>
              <w:right w:val="nil"/>
            </w:tcBorders>
            <w:shd w:val="clear" w:color="auto" w:fill="auto"/>
            <w:noWrap/>
            <w:vAlign w:val="center"/>
            <w:hideMark/>
          </w:tcPr>
          <w:p w14:paraId="4391CDE7" w14:textId="77777777" w:rsidR="00416D9D" w:rsidRPr="008D4557" w:rsidRDefault="00416D9D" w:rsidP="00416D9D">
            <w:pPr>
              <w:spacing w:after="0" w:line="240" w:lineRule="auto"/>
              <w:jc w:val="right"/>
              <w:rPr>
                <w:rFonts w:ascii="Arial" w:eastAsia="Times New Roman" w:hAnsi="Arial" w:cs="Arial"/>
                <w:bCs/>
                <w:color w:val="000000"/>
                <w:sz w:val="20"/>
                <w:szCs w:val="20"/>
                <w:lang w:val="es-ES" w:eastAsia="es-ES"/>
              </w:rPr>
            </w:pPr>
            <w:r w:rsidRPr="008D4557">
              <w:rPr>
                <w:rFonts w:ascii="Arial" w:eastAsia="Times New Roman" w:hAnsi="Arial" w:cs="Arial"/>
                <w:bCs/>
                <w:color w:val="000000"/>
                <w:sz w:val="20"/>
                <w:szCs w:val="20"/>
                <w:lang w:val="es-ES" w:eastAsia="es-ES"/>
              </w:rPr>
              <w:t> </w:t>
            </w:r>
          </w:p>
        </w:tc>
        <w:tc>
          <w:tcPr>
            <w:tcW w:w="671" w:type="dxa"/>
            <w:tcBorders>
              <w:top w:val="nil"/>
              <w:left w:val="nil"/>
              <w:bottom w:val="double" w:sz="6" w:space="0" w:color="auto"/>
              <w:right w:val="nil"/>
            </w:tcBorders>
            <w:shd w:val="clear" w:color="auto" w:fill="auto"/>
            <w:noWrap/>
            <w:vAlign w:val="center"/>
            <w:hideMark/>
          </w:tcPr>
          <w:p w14:paraId="4B94E631" w14:textId="77777777" w:rsidR="00416D9D" w:rsidRPr="008D4557" w:rsidRDefault="00416D9D" w:rsidP="00416D9D">
            <w:pPr>
              <w:spacing w:after="0" w:line="240" w:lineRule="auto"/>
              <w:jc w:val="right"/>
              <w:rPr>
                <w:rFonts w:ascii="Arial" w:eastAsia="Times New Roman" w:hAnsi="Arial" w:cs="Arial"/>
                <w:bCs/>
                <w:color w:val="000000"/>
                <w:sz w:val="20"/>
                <w:szCs w:val="20"/>
                <w:lang w:val="es-ES" w:eastAsia="es-ES"/>
              </w:rPr>
            </w:pPr>
            <w:r w:rsidRPr="008D4557">
              <w:rPr>
                <w:rFonts w:ascii="Arial" w:eastAsia="Times New Roman" w:hAnsi="Arial" w:cs="Arial"/>
                <w:bCs/>
                <w:color w:val="000000"/>
                <w:sz w:val="20"/>
                <w:szCs w:val="20"/>
                <w:lang w:val="es-ES" w:eastAsia="es-ES"/>
              </w:rPr>
              <w:t> </w:t>
            </w:r>
          </w:p>
        </w:tc>
        <w:tc>
          <w:tcPr>
            <w:tcW w:w="514" w:type="dxa"/>
            <w:tcBorders>
              <w:top w:val="nil"/>
              <w:left w:val="nil"/>
              <w:bottom w:val="double" w:sz="6" w:space="0" w:color="auto"/>
              <w:right w:val="nil"/>
            </w:tcBorders>
            <w:shd w:val="clear" w:color="auto" w:fill="auto"/>
            <w:noWrap/>
            <w:vAlign w:val="center"/>
            <w:hideMark/>
          </w:tcPr>
          <w:p w14:paraId="2A4FC663"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514" w:type="dxa"/>
            <w:tcBorders>
              <w:top w:val="nil"/>
              <w:left w:val="nil"/>
              <w:bottom w:val="double" w:sz="6" w:space="0" w:color="auto"/>
              <w:right w:val="nil"/>
            </w:tcBorders>
            <w:shd w:val="clear" w:color="auto" w:fill="auto"/>
            <w:noWrap/>
            <w:vAlign w:val="center"/>
            <w:hideMark/>
          </w:tcPr>
          <w:p w14:paraId="517A7C9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907" w:type="dxa"/>
            <w:tcBorders>
              <w:top w:val="nil"/>
              <w:left w:val="nil"/>
              <w:bottom w:val="double" w:sz="6" w:space="0" w:color="auto"/>
              <w:right w:val="nil"/>
            </w:tcBorders>
            <w:shd w:val="clear" w:color="auto" w:fill="auto"/>
            <w:noWrap/>
            <w:vAlign w:val="center"/>
            <w:hideMark/>
          </w:tcPr>
          <w:p w14:paraId="630B52C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415" w:type="dxa"/>
            <w:tcBorders>
              <w:top w:val="nil"/>
              <w:left w:val="nil"/>
              <w:bottom w:val="double" w:sz="6" w:space="0" w:color="auto"/>
              <w:right w:val="nil"/>
            </w:tcBorders>
            <w:shd w:val="clear" w:color="auto" w:fill="auto"/>
            <w:noWrap/>
            <w:vAlign w:val="center"/>
            <w:hideMark/>
          </w:tcPr>
          <w:p w14:paraId="44744C0D"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single" w:sz="4" w:space="0" w:color="auto"/>
              <w:bottom w:val="double" w:sz="6" w:space="0" w:color="auto"/>
              <w:right w:val="nil"/>
            </w:tcBorders>
            <w:shd w:val="clear" w:color="auto" w:fill="auto"/>
            <w:noWrap/>
            <w:vAlign w:val="center"/>
            <w:hideMark/>
          </w:tcPr>
          <w:p w14:paraId="3C9676C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1" w:type="dxa"/>
            <w:tcBorders>
              <w:top w:val="nil"/>
              <w:left w:val="nil"/>
              <w:bottom w:val="double" w:sz="6" w:space="0" w:color="auto"/>
              <w:right w:val="nil"/>
            </w:tcBorders>
            <w:shd w:val="clear" w:color="auto" w:fill="auto"/>
            <w:noWrap/>
            <w:vAlign w:val="center"/>
            <w:hideMark/>
          </w:tcPr>
          <w:p w14:paraId="73585569"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514" w:type="dxa"/>
            <w:tcBorders>
              <w:top w:val="nil"/>
              <w:left w:val="nil"/>
              <w:bottom w:val="double" w:sz="6" w:space="0" w:color="auto"/>
              <w:right w:val="nil"/>
            </w:tcBorders>
            <w:shd w:val="clear" w:color="auto" w:fill="auto"/>
            <w:noWrap/>
            <w:vAlign w:val="center"/>
            <w:hideMark/>
          </w:tcPr>
          <w:p w14:paraId="1ED18D2A"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17" w:type="dxa"/>
            <w:tcBorders>
              <w:top w:val="nil"/>
              <w:left w:val="nil"/>
              <w:bottom w:val="double" w:sz="6" w:space="0" w:color="auto"/>
              <w:right w:val="nil"/>
            </w:tcBorders>
            <w:shd w:val="clear" w:color="auto" w:fill="auto"/>
            <w:noWrap/>
            <w:vAlign w:val="center"/>
            <w:hideMark/>
          </w:tcPr>
          <w:p w14:paraId="68214D03"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907" w:type="dxa"/>
            <w:tcBorders>
              <w:top w:val="nil"/>
              <w:left w:val="nil"/>
              <w:bottom w:val="double" w:sz="6" w:space="0" w:color="auto"/>
              <w:right w:val="nil"/>
            </w:tcBorders>
            <w:shd w:val="clear" w:color="auto" w:fill="auto"/>
            <w:noWrap/>
            <w:vAlign w:val="center"/>
            <w:hideMark/>
          </w:tcPr>
          <w:p w14:paraId="6094543D"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415" w:type="dxa"/>
            <w:tcBorders>
              <w:top w:val="nil"/>
              <w:left w:val="nil"/>
              <w:bottom w:val="double" w:sz="6" w:space="0" w:color="auto"/>
              <w:right w:val="nil"/>
            </w:tcBorders>
            <w:shd w:val="clear" w:color="auto" w:fill="auto"/>
            <w:noWrap/>
            <w:vAlign w:val="center"/>
            <w:hideMark/>
          </w:tcPr>
          <w:p w14:paraId="3570946F"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single" w:sz="4" w:space="0" w:color="auto"/>
              <w:bottom w:val="double" w:sz="6" w:space="0" w:color="auto"/>
              <w:right w:val="nil"/>
            </w:tcBorders>
            <w:shd w:val="clear" w:color="auto" w:fill="auto"/>
            <w:noWrap/>
            <w:vAlign w:val="center"/>
            <w:hideMark/>
          </w:tcPr>
          <w:p w14:paraId="3AFB2BD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1" w:type="dxa"/>
            <w:tcBorders>
              <w:top w:val="nil"/>
              <w:left w:val="nil"/>
              <w:bottom w:val="double" w:sz="6" w:space="0" w:color="auto"/>
              <w:right w:val="nil"/>
            </w:tcBorders>
            <w:shd w:val="clear" w:color="auto" w:fill="auto"/>
            <w:noWrap/>
            <w:vAlign w:val="center"/>
            <w:hideMark/>
          </w:tcPr>
          <w:p w14:paraId="50CE5FFA"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514" w:type="dxa"/>
            <w:tcBorders>
              <w:top w:val="nil"/>
              <w:left w:val="nil"/>
              <w:bottom w:val="double" w:sz="6" w:space="0" w:color="auto"/>
              <w:right w:val="nil"/>
            </w:tcBorders>
            <w:shd w:val="clear" w:color="auto" w:fill="auto"/>
            <w:noWrap/>
            <w:vAlign w:val="center"/>
            <w:hideMark/>
          </w:tcPr>
          <w:p w14:paraId="1844D77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80" w:type="dxa"/>
            <w:tcBorders>
              <w:top w:val="nil"/>
              <w:left w:val="nil"/>
              <w:bottom w:val="double" w:sz="6" w:space="0" w:color="auto"/>
              <w:right w:val="nil"/>
            </w:tcBorders>
            <w:shd w:val="clear" w:color="auto" w:fill="auto"/>
            <w:noWrap/>
            <w:vAlign w:val="center"/>
            <w:hideMark/>
          </w:tcPr>
          <w:p w14:paraId="240B6579"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907" w:type="dxa"/>
            <w:gridSpan w:val="2"/>
            <w:tcBorders>
              <w:top w:val="nil"/>
              <w:left w:val="nil"/>
              <w:bottom w:val="double" w:sz="6" w:space="0" w:color="auto"/>
              <w:right w:val="nil"/>
            </w:tcBorders>
            <w:shd w:val="clear" w:color="auto" w:fill="auto"/>
            <w:noWrap/>
            <w:vAlign w:val="center"/>
            <w:hideMark/>
          </w:tcPr>
          <w:p w14:paraId="644099FD"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415" w:type="dxa"/>
            <w:gridSpan w:val="2"/>
            <w:tcBorders>
              <w:top w:val="nil"/>
              <w:left w:val="nil"/>
              <w:bottom w:val="double" w:sz="6" w:space="0" w:color="auto"/>
              <w:right w:val="nil"/>
            </w:tcBorders>
            <w:shd w:val="clear" w:color="auto" w:fill="auto"/>
            <w:noWrap/>
            <w:vAlign w:val="center"/>
            <w:hideMark/>
          </w:tcPr>
          <w:p w14:paraId="1D60603F"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r>
      <w:tr w:rsidR="008D4557" w:rsidRPr="008D4557" w14:paraId="6D608D4C"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12C158B1"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nil"/>
              <w:bottom w:val="nil"/>
              <w:right w:val="nil"/>
            </w:tcBorders>
            <w:shd w:val="clear" w:color="auto" w:fill="auto"/>
            <w:noWrap/>
            <w:vAlign w:val="center"/>
            <w:hideMark/>
          </w:tcPr>
          <w:p w14:paraId="1E744BA1"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6E862458"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2B2D4166"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671" w:type="dxa"/>
            <w:tcBorders>
              <w:top w:val="nil"/>
              <w:left w:val="nil"/>
              <w:bottom w:val="nil"/>
              <w:right w:val="nil"/>
            </w:tcBorders>
            <w:shd w:val="clear" w:color="auto" w:fill="auto"/>
            <w:noWrap/>
            <w:vAlign w:val="center"/>
            <w:hideMark/>
          </w:tcPr>
          <w:p w14:paraId="0232C298"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70600134"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2E1B2CBE"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63904160"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3028DD3D"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2ABC2D13"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101A096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51E82DB4"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532E3871"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2F383007"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19974261"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5ADA41CD"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021B4904"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6BCCD560"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2C22A330"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47DB34CA"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3F8506BE"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r>
      <w:tr w:rsidR="008D4557" w:rsidRPr="008D4557" w14:paraId="466342DC"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2C199A7E" w14:textId="77777777" w:rsidR="00416D9D" w:rsidRPr="008D4557" w:rsidRDefault="00416D9D" w:rsidP="00416D9D">
            <w:pPr>
              <w:spacing w:after="0" w:line="240" w:lineRule="auto"/>
              <w:jc w:val="right"/>
              <w:rPr>
                <w:rFonts w:ascii="Arial" w:eastAsia="Times New Roman" w:hAnsi="Arial" w:cs="Arial"/>
                <w:bCs/>
                <w:i/>
                <w:iCs/>
                <w:color w:val="000000"/>
                <w:sz w:val="20"/>
                <w:szCs w:val="20"/>
                <w:u w:val="single"/>
                <w:lang w:val="es-ES" w:eastAsia="es-ES"/>
              </w:rPr>
            </w:pPr>
            <w:r w:rsidRPr="008D4557">
              <w:rPr>
                <w:rFonts w:ascii="Arial" w:eastAsia="Times New Roman" w:hAnsi="Arial" w:cs="Arial"/>
                <w:bCs/>
                <w:i/>
                <w:iCs/>
                <w:color w:val="000000"/>
                <w:sz w:val="20"/>
                <w:szCs w:val="20"/>
                <w:u w:val="single"/>
                <w:lang w:val="es-ES" w:eastAsia="es-ES"/>
              </w:rPr>
              <w:t xml:space="preserve">Living </w:t>
            </w:r>
            <w:proofErr w:type="spellStart"/>
            <w:r w:rsidRPr="008D4557">
              <w:rPr>
                <w:rFonts w:ascii="Arial" w:eastAsia="Times New Roman" w:hAnsi="Arial" w:cs="Arial"/>
                <w:bCs/>
                <w:i/>
                <w:iCs/>
                <w:color w:val="000000"/>
                <w:sz w:val="20"/>
                <w:szCs w:val="20"/>
                <w:u w:val="single"/>
                <w:lang w:val="es-ES" w:eastAsia="es-ES"/>
              </w:rPr>
              <w:t>arrangements</w:t>
            </w:r>
            <w:proofErr w:type="spellEnd"/>
          </w:p>
        </w:tc>
        <w:tc>
          <w:tcPr>
            <w:tcW w:w="180" w:type="dxa"/>
            <w:tcBorders>
              <w:top w:val="nil"/>
              <w:left w:val="nil"/>
              <w:bottom w:val="nil"/>
              <w:right w:val="nil"/>
            </w:tcBorders>
            <w:shd w:val="clear" w:color="auto" w:fill="auto"/>
            <w:noWrap/>
            <w:vAlign w:val="center"/>
            <w:hideMark/>
          </w:tcPr>
          <w:p w14:paraId="6D488D3E"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135F6994"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r w:rsidRPr="008D4557">
              <w:rPr>
                <w:rFonts w:ascii="Arial" w:eastAsia="Times New Roman" w:hAnsi="Arial" w:cs="Arial"/>
                <w:bCs/>
                <w:i/>
                <w:iCs/>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4E621587"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r w:rsidRPr="008D4557">
              <w:rPr>
                <w:rFonts w:ascii="Times New Roman" w:eastAsia="Times New Roman" w:hAnsi="Times New Roman" w:cs="Times New Roman"/>
                <w:bCs/>
                <w:i/>
                <w:iCs/>
                <w:color w:val="000000"/>
                <w:sz w:val="20"/>
                <w:szCs w:val="20"/>
                <w:lang w:val="es-ES" w:eastAsia="es-ES"/>
              </w:rPr>
              <w:t>N</w:t>
            </w:r>
          </w:p>
        </w:tc>
        <w:tc>
          <w:tcPr>
            <w:tcW w:w="671" w:type="dxa"/>
            <w:tcBorders>
              <w:top w:val="nil"/>
              <w:left w:val="nil"/>
              <w:bottom w:val="nil"/>
              <w:right w:val="nil"/>
            </w:tcBorders>
            <w:shd w:val="clear" w:color="auto" w:fill="auto"/>
            <w:noWrap/>
            <w:vAlign w:val="center"/>
            <w:hideMark/>
          </w:tcPr>
          <w:p w14:paraId="23E0AFD1"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roofErr w:type="spellStart"/>
            <w:r w:rsidRPr="008D4557">
              <w:rPr>
                <w:rFonts w:ascii="Times New Roman" w:eastAsia="Times New Roman" w:hAnsi="Times New Roman" w:cs="Times New Roman"/>
                <w:bCs/>
                <w:i/>
                <w:iCs/>
                <w:color w:val="000000"/>
                <w:sz w:val="20"/>
                <w:szCs w:val="20"/>
                <w:lang w:val="es-ES" w:eastAsia="es-ES"/>
              </w:rPr>
              <w:t>event</w:t>
            </w:r>
            <w:proofErr w:type="spellEnd"/>
          </w:p>
        </w:tc>
        <w:tc>
          <w:tcPr>
            <w:tcW w:w="514" w:type="dxa"/>
            <w:tcBorders>
              <w:top w:val="nil"/>
              <w:left w:val="nil"/>
              <w:bottom w:val="nil"/>
              <w:right w:val="nil"/>
            </w:tcBorders>
            <w:shd w:val="clear" w:color="auto" w:fill="auto"/>
            <w:noWrap/>
            <w:vAlign w:val="center"/>
            <w:hideMark/>
          </w:tcPr>
          <w:p w14:paraId="7DC59B3F" w14:textId="77777777" w:rsidR="00416D9D" w:rsidRPr="008D4557" w:rsidRDefault="00416D9D" w:rsidP="00416D9D">
            <w:pPr>
              <w:spacing w:after="0" w:line="240" w:lineRule="auto"/>
              <w:jc w:val="right"/>
              <w:rPr>
                <w:rFonts w:ascii="Times New Roman" w:eastAsia="Times New Roman" w:hAnsi="Times New Roman" w:cs="Times New Roman"/>
                <w:bCs/>
                <w:color w:val="000000"/>
                <w:sz w:val="20"/>
                <w:szCs w:val="20"/>
                <w:lang w:val="es-ES" w:eastAsia="es-ES"/>
              </w:rPr>
            </w:pPr>
            <w:proofErr w:type="spellStart"/>
            <w:r w:rsidRPr="008D4557">
              <w:rPr>
                <w:rFonts w:ascii="Times New Roman" w:eastAsia="Times New Roman" w:hAnsi="Times New Roman" w:cs="Times New Roman"/>
                <w:bCs/>
                <w:color w:val="000000"/>
                <w:sz w:val="20"/>
                <w:szCs w:val="20"/>
                <w:lang w:val="es-ES" w:eastAsia="es-ES"/>
              </w:rPr>
              <w:t>coef</w:t>
            </w:r>
            <w:proofErr w:type="spellEnd"/>
          </w:p>
        </w:tc>
        <w:tc>
          <w:tcPr>
            <w:tcW w:w="514" w:type="dxa"/>
            <w:tcBorders>
              <w:top w:val="nil"/>
              <w:left w:val="nil"/>
              <w:bottom w:val="nil"/>
              <w:right w:val="nil"/>
            </w:tcBorders>
            <w:shd w:val="clear" w:color="auto" w:fill="auto"/>
            <w:noWrap/>
            <w:vAlign w:val="center"/>
            <w:hideMark/>
          </w:tcPr>
          <w:p w14:paraId="20E1B42D" w14:textId="77777777" w:rsidR="00416D9D" w:rsidRPr="008D4557" w:rsidRDefault="00416D9D" w:rsidP="00416D9D">
            <w:pPr>
              <w:spacing w:after="0" w:line="240" w:lineRule="auto"/>
              <w:jc w:val="right"/>
              <w:rPr>
                <w:rFonts w:ascii="Times New Roman" w:eastAsia="Times New Roman" w:hAnsi="Times New Roman" w:cs="Times New Roman"/>
                <w:bCs/>
                <w:color w:val="000000"/>
                <w:sz w:val="20"/>
                <w:szCs w:val="20"/>
                <w:lang w:val="es-ES" w:eastAsia="es-ES"/>
              </w:rPr>
            </w:pPr>
            <w:r w:rsidRPr="008D4557">
              <w:rPr>
                <w:rFonts w:ascii="Times New Roman" w:eastAsia="Times New Roman" w:hAnsi="Times New Roman" w:cs="Times New Roman"/>
                <w:bCs/>
                <w:color w:val="000000"/>
                <w:sz w:val="20"/>
                <w:szCs w:val="20"/>
                <w:lang w:val="es-ES" w:eastAsia="es-ES"/>
              </w:rPr>
              <w:t>HR</w:t>
            </w:r>
          </w:p>
        </w:tc>
        <w:tc>
          <w:tcPr>
            <w:tcW w:w="907" w:type="dxa"/>
            <w:tcBorders>
              <w:top w:val="nil"/>
              <w:left w:val="nil"/>
              <w:bottom w:val="nil"/>
              <w:right w:val="nil"/>
            </w:tcBorders>
            <w:shd w:val="clear" w:color="auto" w:fill="auto"/>
            <w:noWrap/>
            <w:vAlign w:val="center"/>
            <w:hideMark/>
          </w:tcPr>
          <w:p w14:paraId="0DC9F898" w14:textId="77777777" w:rsidR="00416D9D" w:rsidRPr="008D4557" w:rsidRDefault="00416D9D" w:rsidP="00416D9D">
            <w:pPr>
              <w:spacing w:after="0" w:line="240" w:lineRule="auto"/>
              <w:jc w:val="center"/>
              <w:rPr>
                <w:rFonts w:ascii="Times New Roman" w:eastAsia="Times New Roman" w:hAnsi="Times New Roman" w:cs="Times New Roman"/>
                <w:bCs/>
                <w:color w:val="000000"/>
                <w:sz w:val="20"/>
                <w:szCs w:val="20"/>
                <w:lang w:val="es-ES" w:eastAsia="es-ES"/>
              </w:rPr>
            </w:pPr>
            <w:r w:rsidRPr="008D4557">
              <w:rPr>
                <w:rFonts w:ascii="Times New Roman" w:eastAsia="Times New Roman" w:hAnsi="Times New Roman" w:cs="Times New Roman"/>
                <w:bCs/>
                <w:color w:val="000000"/>
                <w:sz w:val="20"/>
                <w:szCs w:val="20"/>
                <w:lang w:val="es-ES" w:eastAsia="es-ES"/>
              </w:rPr>
              <w:t>CI</w:t>
            </w:r>
          </w:p>
        </w:tc>
        <w:tc>
          <w:tcPr>
            <w:tcW w:w="415" w:type="dxa"/>
            <w:tcBorders>
              <w:top w:val="nil"/>
              <w:left w:val="nil"/>
              <w:bottom w:val="nil"/>
              <w:right w:val="nil"/>
            </w:tcBorders>
            <w:shd w:val="clear" w:color="auto" w:fill="auto"/>
            <w:noWrap/>
            <w:vAlign w:val="center"/>
            <w:hideMark/>
          </w:tcPr>
          <w:p w14:paraId="18529552" w14:textId="77777777" w:rsidR="00416D9D" w:rsidRPr="008D4557" w:rsidRDefault="00416D9D" w:rsidP="00416D9D">
            <w:pPr>
              <w:spacing w:after="0" w:line="240" w:lineRule="auto"/>
              <w:jc w:val="right"/>
              <w:rPr>
                <w:rFonts w:ascii="Times New Roman" w:eastAsia="Times New Roman" w:hAnsi="Times New Roman" w:cs="Times New Roman"/>
                <w:bCs/>
                <w:color w:val="000000"/>
                <w:sz w:val="20"/>
                <w:szCs w:val="20"/>
                <w:lang w:val="es-ES" w:eastAsia="es-ES"/>
              </w:rPr>
            </w:pPr>
            <w:r w:rsidRPr="008D4557">
              <w:rPr>
                <w:rFonts w:ascii="Times New Roman" w:eastAsia="Times New Roman" w:hAnsi="Times New Roman" w:cs="Times New Roman"/>
                <w:bCs/>
                <w:color w:val="000000"/>
                <w:sz w:val="20"/>
                <w:szCs w:val="20"/>
                <w:lang w:val="es-ES" w:eastAsia="es-ES"/>
              </w:rPr>
              <w:t>Sig.</w:t>
            </w:r>
          </w:p>
        </w:tc>
        <w:tc>
          <w:tcPr>
            <w:tcW w:w="679" w:type="dxa"/>
            <w:tcBorders>
              <w:top w:val="nil"/>
              <w:left w:val="single" w:sz="4" w:space="0" w:color="auto"/>
              <w:bottom w:val="nil"/>
              <w:right w:val="nil"/>
            </w:tcBorders>
            <w:shd w:val="clear" w:color="auto" w:fill="auto"/>
            <w:noWrap/>
            <w:vAlign w:val="center"/>
            <w:hideMark/>
          </w:tcPr>
          <w:p w14:paraId="333723D0"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r w:rsidRPr="008D4557">
              <w:rPr>
                <w:rFonts w:ascii="Times New Roman" w:eastAsia="Times New Roman" w:hAnsi="Times New Roman" w:cs="Times New Roman"/>
                <w:bCs/>
                <w:i/>
                <w:iCs/>
                <w:color w:val="000000"/>
                <w:sz w:val="20"/>
                <w:szCs w:val="20"/>
                <w:lang w:val="es-ES" w:eastAsia="es-ES"/>
              </w:rPr>
              <w:t>% N</w:t>
            </w:r>
          </w:p>
        </w:tc>
        <w:tc>
          <w:tcPr>
            <w:tcW w:w="671" w:type="dxa"/>
            <w:tcBorders>
              <w:top w:val="nil"/>
              <w:left w:val="nil"/>
              <w:bottom w:val="nil"/>
              <w:right w:val="nil"/>
            </w:tcBorders>
            <w:shd w:val="clear" w:color="auto" w:fill="auto"/>
            <w:noWrap/>
            <w:vAlign w:val="center"/>
            <w:hideMark/>
          </w:tcPr>
          <w:p w14:paraId="65659ECE"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roofErr w:type="spellStart"/>
            <w:r w:rsidRPr="008D4557">
              <w:rPr>
                <w:rFonts w:ascii="Times New Roman" w:eastAsia="Times New Roman" w:hAnsi="Times New Roman" w:cs="Times New Roman"/>
                <w:bCs/>
                <w:i/>
                <w:iCs/>
                <w:color w:val="000000"/>
                <w:sz w:val="20"/>
                <w:szCs w:val="20"/>
                <w:lang w:val="es-ES" w:eastAsia="es-ES"/>
              </w:rPr>
              <w:t>event</w:t>
            </w:r>
            <w:proofErr w:type="spellEnd"/>
          </w:p>
        </w:tc>
        <w:tc>
          <w:tcPr>
            <w:tcW w:w="514" w:type="dxa"/>
            <w:tcBorders>
              <w:top w:val="nil"/>
              <w:left w:val="nil"/>
              <w:bottom w:val="nil"/>
              <w:right w:val="nil"/>
            </w:tcBorders>
            <w:shd w:val="clear" w:color="auto" w:fill="auto"/>
            <w:noWrap/>
            <w:vAlign w:val="center"/>
            <w:hideMark/>
          </w:tcPr>
          <w:p w14:paraId="068A202D" w14:textId="77777777" w:rsidR="00416D9D" w:rsidRPr="008D4557" w:rsidRDefault="00416D9D" w:rsidP="00416D9D">
            <w:pPr>
              <w:spacing w:after="0" w:line="240" w:lineRule="auto"/>
              <w:jc w:val="right"/>
              <w:rPr>
                <w:rFonts w:ascii="Times New Roman" w:eastAsia="Times New Roman" w:hAnsi="Times New Roman" w:cs="Times New Roman"/>
                <w:bCs/>
                <w:color w:val="000000"/>
                <w:sz w:val="20"/>
                <w:szCs w:val="20"/>
                <w:lang w:val="es-ES" w:eastAsia="es-ES"/>
              </w:rPr>
            </w:pPr>
            <w:proofErr w:type="spellStart"/>
            <w:r w:rsidRPr="008D4557">
              <w:rPr>
                <w:rFonts w:ascii="Times New Roman" w:eastAsia="Times New Roman" w:hAnsi="Times New Roman" w:cs="Times New Roman"/>
                <w:bCs/>
                <w:color w:val="000000"/>
                <w:sz w:val="20"/>
                <w:szCs w:val="20"/>
                <w:lang w:val="es-ES" w:eastAsia="es-ES"/>
              </w:rPr>
              <w:t>coef</w:t>
            </w:r>
            <w:proofErr w:type="spellEnd"/>
          </w:p>
        </w:tc>
        <w:tc>
          <w:tcPr>
            <w:tcW w:w="617" w:type="dxa"/>
            <w:tcBorders>
              <w:top w:val="nil"/>
              <w:left w:val="nil"/>
              <w:bottom w:val="nil"/>
              <w:right w:val="nil"/>
            </w:tcBorders>
            <w:shd w:val="clear" w:color="auto" w:fill="auto"/>
            <w:noWrap/>
            <w:vAlign w:val="center"/>
            <w:hideMark/>
          </w:tcPr>
          <w:p w14:paraId="7C0121EE" w14:textId="77777777" w:rsidR="00416D9D" w:rsidRPr="008D4557" w:rsidRDefault="00416D9D" w:rsidP="00416D9D">
            <w:pPr>
              <w:spacing w:after="0" w:line="240" w:lineRule="auto"/>
              <w:jc w:val="right"/>
              <w:rPr>
                <w:rFonts w:ascii="Times New Roman" w:eastAsia="Times New Roman" w:hAnsi="Times New Roman" w:cs="Times New Roman"/>
                <w:bCs/>
                <w:color w:val="000000"/>
                <w:sz w:val="20"/>
                <w:szCs w:val="20"/>
                <w:lang w:val="es-ES" w:eastAsia="es-ES"/>
              </w:rPr>
            </w:pPr>
            <w:r w:rsidRPr="008D4557">
              <w:rPr>
                <w:rFonts w:ascii="Times New Roman" w:eastAsia="Times New Roman" w:hAnsi="Times New Roman" w:cs="Times New Roman"/>
                <w:bCs/>
                <w:color w:val="000000"/>
                <w:sz w:val="20"/>
                <w:szCs w:val="20"/>
                <w:lang w:val="es-ES" w:eastAsia="es-ES"/>
              </w:rPr>
              <w:t>HR</w:t>
            </w:r>
          </w:p>
        </w:tc>
        <w:tc>
          <w:tcPr>
            <w:tcW w:w="907" w:type="dxa"/>
            <w:tcBorders>
              <w:top w:val="nil"/>
              <w:left w:val="nil"/>
              <w:bottom w:val="nil"/>
              <w:right w:val="nil"/>
            </w:tcBorders>
            <w:shd w:val="clear" w:color="auto" w:fill="auto"/>
            <w:noWrap/>
            <w:vAlign w:val="center"/>
            <w:hideMark/>
          </w:tcPr>
          <w:p w14:paraId="527FA185" w14:textId="77777777" w:rsidR="00416D9D" w:rsidRPr="008D4557" w:rsidRDefault="00416D9D" w:rsidP="00416D9D">
            <w:pPr>
              <w:spacing w:after="0" w:line="240" w:lineRule="auto"/>
              <w:jc w:val="center"/>
              <w:rPr>
                <w:rFonts w:ascii="Times New Roman" w:eastAsia="Times New Roman" w:hAnsi="Times New Roman" w:cs="Times New Roman"/>
                <w:bCs/>
                <w:color w:val="000000"/>
                <w:sz w:val="20"/>
                <w:szCs w:val="20"/>
                <w:lang w:val="es-ES" w:eastAsia="es-ES"/>
              </w:rPr>
            </w:pPr>
            <w:r w:rsidRPr="008D4557">
              <w:rPr>
                <w:rFonts w:ascii="Times New Roman" w:eastAsia="Times New Roman" w:hAnsi="Times New Roman" w:cs="Times New Roman"/>
                <w:bCs/>
                <w:color w:val="000000"/>
                <w:sz w:val="20"/>
                <w:szCs w:val="20"/>
                <w:lang w:val="es-ES" w:eastAsia="es-ES"/>
              </w:rPr>
              <w:t>CI</w:t>
            </w:r>
          </w:p>
        </w:tc>
        <w:tc>
          <w:tcPr>
            <w:tcW w:w="415" w:type="dxa"/>
            <w:tcBorders>
              <w:top w:val="nil"/>
              <w:left w:val="nil"/>
              <w:bottom w:val="nil"/>
              <w:right w:val="nil"/>
            </w:tcBorders>
            <w:shd w:val="clear" w:color="auto" w:fill="auto"/>
            <w:noWrap/>
            <w:vAlign w:val="center"/>
            <w:hideMark/>
          </w:tcPr>
          <w:p w14:paraId="0564411D" w14:textId="77777777" w:rsidR="00416D9D" w:rsidRPr="008D4557" w:rsidRDefault="00416D9D" w:rsidP="00416D9D">
            <w:pPr>
              <w:spacing w:after="0" w:line="240" w:lineRule="auto"/>
              <w:jc w:val="right"/>
              <w:rPr>
                <w:rFonts w:ascii="Times New Roman" w:eastAsia="Times New Roman" w:hAnsi="Times New Roman" w:cs="Times New Roman"/>
                <w:bCs/>
                <w:color w:val="000000"/>
                <w:sz w:val="20"/>
                <w:szCs w:val="20"/>
                <w:lang w:val="es-ES" w:eastAsia="es-ES"/>
              </w:rPr>
            </w:pPr>
            <w:r w:rsidRPr="008D4557">
              <w:rPr>
                <w:rFonts w:ascii="Times New Roman" w:eastAsia="Times New Roman" w:hAnsi="Times New Roman" w:cs="Times New Roman"/>
                <w:bCs/>
                <w:color w:val="000000"/>
                <w:sz w:val="20"/>
                <w:szCs w:val="20"/>
                <w:lang w:val="es-ES" w:eastAsia="es-ES"/>
              </w:rPr>
              <w:t>Sig.</w:t>
            </w:r>
          </w:p>
        </w:tc>
        <w:tc>
          <w:tcPr>
            <w:tcW w:w="679" w:type="dxa"/>
            <w:tcBorders>
              <w:top w:val="nil"/>
              <w:left w:val="single" w:sz="4" w:space="0" w:color="auto"/>
              <w:bottom w:val="nil"/>
              <w:right w:val="nil"/>
            </w:tcBorders>
            <w:shd w:val="clear" w:color="auto" w:fill="auto"/>
            <w:noWrap/>
            <w:vAlign w:val="center"/>
            <w:hideMark/>
          </w:tcPr>
          <w:p w14:paraId="7222A82F"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r w:rsidRPr="008D4557">
              <w:rPr>
                <w:rFonts w:ascii="Times New Roman" w:eastAsia="Times New Roman" w:hAnsi="Times New Roman" w:cs="Times New Roman"/>
                <w:bCs/>
                <w:i/>
                <w:iCs/>
                <w:color w:val="000000"/>
                <w:sz w:val="20"/>
                <w:szCs w:val="20"/>
                <w:lang w:val="es-ES" w:eastAsia="es-ES"/>
              </w:rPr>
              <w:t>% N</w:t>
            </w:r>
          </w:p>
        </w:tc>
        <w:tc>
          <w:tcPr>
            <w:tcW w:w="671" w:type="dxa"/>
            <w:tcBorders>
              <w:top w:val="nil"/>
              <w:left w:val="nil"/>
              <w:bottom w:val="nil"/>
              <w:right w:val="nil"/>
            </w:tcBorders>
            <w:shd w:val="clear" w:color="auto" w:fill="auto"/>
            <w:noWrap/>
            <w:vAlign w:val="center"/>
            <w:hideMark/>
          </w:tcPr>
          <w:p w14:paraId="369B0B2F"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roofErr w:type="spellStart"/>
            <w:r w:rsidRPr="008D4557">
              <w:rPr>
                <w:rFonts w:ascii="Times New Roman" w:eastAsia="Times New Roman" w:hAnsi="Times New Roman" w:cs="Times New Roman"/>
                <w:bCs/>
                <w:i/>
                <w:iCs/>
                <w:color w:val="000000"/>
                <w:sz w:val="20"/>
                <w:szCs w:val="20"/>
                <w:lang w:val="es-ES" w:eastAsia="es-ES"/>
              </w:rPr>
              <w:t>event</w:t>
            </w:r>
            <w:proofErr w:type="spellEnd"/>
          </w:p>
        </w:tc>
        <w:tc>
          <w:tcPr>
            <w:tcW w:w="514" w:type="dxa"/>
            <w:tcBorders>
              <w:top w:val="nil"/>
              <w:left w:val="nil"/>
              <w:bottom w:val="nil"/>
              <w:right w:val="nil"/>
            </w:tcBorders>
            <w:shd w:val="clear" w:color="auto" w:fill="auto"/>
            <w:noWrap/>
            <w:vAlign w:val="center"/>
            <w:hideMark/>
          </w:tcPr>
          <w:p w14:paraId="7508EA81" w14:textId="77777777" w:rsidR="00416D9D" w:rsidRPr="008D4557" w:rsidRDefault="00416D9D" w:rsidP="00416D9D">
            <w:pPr>
              <w:spacing w:after="0" w:line="240" w:lineRule="auto"/>
              <w:jc w:val="right"/>
              <w:rPr>
                <w:rFonts w:ascii="Times New Roman" w:eastAsia="Times New Roman" w:hAnsi="Times New Roman" w:cs="Times New Roman"/>
                <w:bCs/>
                <w:color w:val="000000"/>
                <w:sz w:val="20"/>
                <w:szCs w:val="20"/>
                <w:lang w:val="es-ES" w:eastAsia="es-ES"/>
              </w:rPr>
            </w:pPr>
            <w:proofErr w:type="spellStart"/>
            <w:r w:rsidRPr="008D4557">
              <w:rPr>
                <w:rFonts w:ascii="Times New Roman" w:eastAsia="Times New Roman" w:hAnsi="Times New Roman" w:cs="Times New Roman"/>
                <w:bCs/>
                <w:color w:val="000000"/>
                <w:sz w:val="20"/>
                <w:szCs w:val="20"/>
                <w:lang w:val="es-ES" w:eastAsia="es-ES"/>
              </w:rPr>
              <w:t>coef</w:t>
            </w:r>
            <w:proofErr w:type="spellEnd"/>
          </w:p>
        </w:tc>
        <w:tc>
          <w:tcPr>
            <w:tcW w:w="680" w:type="dxa"/>
            <w:tcBorders>
              <w:top w:val="nil"/>
              <w:left w:val="nil"/>
              <w:bottom w:val="nil"/>
              <w:right w:val="nil"/>
            </w:tcBorders>
            <w:shd w:val="clear" w:color="auto" w:fill="auto"/>
            <w:noWrap/>
            <w:vAlign w:val="center"/>
            <w:hideMark/>
          </w:tcPr>
          <w:p w14:paraId="72194E4C" w14:textId="77777777" w:rsidR="00416D9D" w:rsidRPr="008D4557" w:rsidRDefault="00416D9D" w:rsidP="00416D9D">
            <w:pPr>
              <w:spacing w:after="0" w:line="240" w:lineRule="auto"/>
              <w:jc w:val="right"/>
              <w:rPr>
                <w:rFonts w:ascii="Times New Roman" w:eastAsia="Times New Roman" w:hAnsi="Times New Roman" w:cs="Times New Roman"/>
                <w:bCs/>
                <w:color w:val="000000"/>
                <w:sz w:val="20"/>
                <w:szCs w:val="20"/>
                <w:lang w:val="es-ES" w:eastAsia="es-ES"/>
              </w:rPr>
            </w:pPr>
            <w:r w:rsidRPr="008D4557">
              <w:rPr>
                <w:rFonts w:ascii="Times New Roman" w:eastAsia="Times New Roman" w:hAnsi="Times New Roman" w:cs="Times New Roman"/>
                <w:bCs/>
                <w:color w:val="000000"/>
                <w:sz w:val="20"/>
                <w:szCs w:val="20"/>
                <w:lang w:val="es-ES" w:eastAsia="es-ES"/>
              </w:rPr>
              <w:t>HR</w:t>
            </w:r>
          </w:p>
        </w:tc>
        <w:tc>
          <w:tcPr>
            <w:tcW w:w="907" w:type="dxa"/>
            <w:gridSpan w:val="2"/>
            <w:tcBorders>
              <w:top w:val="nil"/>
              <w:left w:val="nil"/>
              <w:bottom w:val="nil"/>
              <w:right w:val="nil"/>
            </w:tcBorders>
            <w:shd w:val="clear" w:color="auto" w:fill="auto"/>
            <w:noWrap/>
            <w:vAlign w:val="center"/>
            <w:hideMark/>
          </w:tcPr>
          <w:p w14:paraId="4FDDA821" w14:textId="77777777" w:rsidR="00416D9D" w:rsidRPr="008D4557" w:rsidRDefault="00416D9D" w:rsidP="00416D9D">
            <w:pPr>
              <w:spacing w:after="0" w:line="240" w:lineRule="auto"/>
              <w:jc w:val="center"/>
              <w:rPr>
                <w:rFonts w:ascii="Times New Roman" w:eastAsia="Times New Roman" w:hAnsi="Times New Roman" w:cs="Times New Roman"/>
                <w:bCs/>
                <w:color w:val="000000"/>
                <w:sz w:val="20"/>
                <w:szCs w:val="20"/>
                <w:lang w:val="es-ES" w:eastAsia="es-ES"/>
              </w:rPr>
            </w:pPr>
            <w:r w:rsidRPr="008D4557">
              <w:rPr>
                <w:rFonts w:ascii="Times New Roman" w:eastAsia="Times New Roman" w:hAnsi="Times New Roman" w:cs="Times New Roman"/>
                <w:bCs/>
                <w:color w:val="000000"/>
                <w:sz w:val="20"/>
                <w:szCs w:val="20"/>
                <w:lang w:val="es-ES" w:eastAsia="es-ES"/>
              </w:rPr>
              <w:t>CI</w:t>
            </w:r>
          </w:p>
        </w:tc>
        <w:tc>
          <w:tcPr>
            <w:tcW w:w="415" w:type="dxa"/>
            <w:gridSpan w:val="2"/>
            <w:tcBorders>
              <w:top w:val="nil"/>
              <w:left w:val="nil"/>
              <w:bottom w:val="nil"/>
              <w:right w:val="nil"/>
            </w:tcBorders>
            <w:shd w:val="clear" w:color="auto" w:fill="auto"/>
            <w:noWrap/>
            <w:vAlign w:val="center"/>
            <w:hideMark/>
          </w:tcPr>
          <w:p w14:paraId="0587D0D6" w14:textId="77777777" w:rsidR="00416D9D" w:rsidRPr="008D4557" w:rsidRDefault="00416D9D" w:rsidP="00416D9D">
            <w:pPr>
              <w:spacing w:after="0" w:line="240" w:lineRule="auto"/>
              <w:jc w:val="right"/>
              <w:rPr>
                <w:rFonts w:ascii="Times New Roman" w:eastAsia="Times New Roman" w:hAnsi="Times New Roman" w:cs="Times New Roman"/>
                <w:bCs/>
                <w:color w:val="000000"/>
                <w:sz w:val="20"/>
                <w:szCs w:val="20"/>
                <w:lang w:val="es-ES" w:eastAsia="es-ES"/>
              </w:rPr>
            </w:pPr>
            <w:r w:rsidRPr="008D4557">
              <w:rPr>
                <w:rFonts w:ascii="Times New Roman" w:eastAsia="Times New Roman" w:hAnsi="Times New Roman" w:cs="Times New Roman"/>
                <w:bCs/>
                <w:color w:val="000000"/>
                <w:sz w:val="20"/>
                <w:szCs w:val="20"/>
                <w:lang w:val="es-ES" w:eastAsia="es-ES"/>
              </w:rPr>
              <w:t>Sig.</w:t>
            </w:r>
          </w:p>
        </w:tc>
      </w:tr>
      <w:tr w:rsidR="008D4557" w:rsidRPr="008D4557" w14:paraId="247EDB9E"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6908D6B3" w14:textId="77777777" w:rsidR="00416D9D" w:rsidRPr="008D4557" w:rsidRDefault="00416D9D" w:rsidP="00416D9D">
            <w:pPr>
              <w:spacing w:after="0" w:line="240" w:lineRule="auto"/>
              <w:jc w:val="right"/>
              <w:rPr>
                <w:rFonts w:ascii="Arial" w:eastAsia="Times New Roman" w:hAnsi="Arial" w:cs="Arial"/>
                <w:i/>
                <w:iCs/>
                <w:color w:val="000000"/>
                <w:sz w:val="20"/>
                <w:szCs w:val="20"/>
                <w:lang w:val="es-ES" w:eastAsia="es-ES"/>
              </w:rPr>
            </w:pPr>
            <w:r w:rsidRPr="008D4557">
              <w:rPr>
                <w:rFonts w:ascii="Arial" w:eastAsia="Times New Roman" w:hAnsi="Arial" w:cs="Arial"/>
                <w:i/>
                <w:iCs/>
                <w:color w:val="000000"/>
                <w:sz w:val="20"/>
                <w:szCs w:val="20"/>
                <w:lang w:val="es-ES" w:eastAsia="es-ES"/>
              </w:rPr>
              <w:t xml:space="preserve">*Living </w:t>
            </w:r>
            <w:proofErr w:type="spellStart"/>
            <w:r w:rsidRPr="008D4557">
              <w:rPr>
                <w:rFonts w:ascii="Arial" w:eastAsia="Times New Roman" w:hAnsi="Arial" w:cs="Arial"/>
                <w:i/>
                <w:iCs/>
                <w:color w:val="000000"/>
                <w:sz w:val="20"/>
                <w:szCs w:val="20"/>
                <w:lang w:val="es-ES" w:eastAsia="es-ES"/>
              </w:rPr>
              <w:t>with</w:t>
            </w:r>
            <w:proofErr w:type="spellEnd"/>
            <w:r w:rsidRPr="008D4557">
              <w:rPr>
                <w:rFonts w:ascii="Arial" w:eastAsia="Times New Roman" w:hAnsi="Arial" w:cs="Arial"/>
                <w:i/>
                <w:iCs/>
                <w:color w:val="000000"/>
                <w:sz w:val="20"/>
                <w:szCs w:val="20"/>
                <w:lang w:val="es-ES" w:eastAsia="es-ES"/>
              </w:rPr>
              <w:t xml:space="preserve"> </w:t>
            </w:r>
            <w:proofErr w:type="spellStart"/>
            <w:r w:rsidRPr="008D4557">
              <w:rPr>
                <w:rFonts w:ascii="Arial" w:eastAsia="Times New Roman" w:hAnsi="Arial" w:cs="Arial"/>
                <w:i/>
                <w:iCs/>
                <w:color w:val="000000"/>
                <w:sz w:val="20"/>
                <w:szCs w:val="20"/>
                <w:lang w:val="es-ES" w:eastAsia="es-ES"/>
              </w:rPr>
              <w:t>partner</w:t>
            </w:r>
            <w:proofErr w:type="spellEnd"/>
            <w:r w:rsidRPr="008D4557">
              <w:rPr>
                <w:rFonts w:ascii="Arial" w:eastAsia="Times New Roman" w:hAnsi="Arial" w:cs="Arial"/>
                <w:i/>
                <w:iCs/>
                <w:color w:val="000000"/>
                <w:sz w:val="20"/>
                <w:szCs w:val="20"/>
                <w:lang w:val="es-ES" w:eastAsia="es-ES"/>
              </w:rPr>
              <w:t>(</w:t>
            </w:r>
            <w:proofErr w:type="spellStart"/>
            <w:r w:rsidRPr="008D4557">
              <w:rPr>
                <w:rFonts w:ascii="Arial" w:eastAsia="Times New Roman" w:hAnsi="Arial" w:cs="Arial"/>
                <w:i/>
                <w:iCs/>
                <w:color w:val="000000"/>
                <w:sz w:val="20"/>
                <w:szCs w:val="20"/>
                <w:lang w:val="es-ES" w:eastAsia="es-ES"/>
              </w:rPr>
              <w:t>ref</w:t>
            </w:r>
            <w:proofErr w:type="spellEnd"/>
            <w:r w:rsidRPr="008D4557">
              <w:rPr>
                <w:rFonts w:ascii="Arial" w:eastAsia="Times New Roman" w:hAnsi="Arial" w:cs="Arial"/>
                <w:i/>
                <w:iCs/>
                <w:color w:val="000000"/>
                <w:sz w:val="20"/>
                <w:szCs w:val="20"/>
                <w:lang w:val="es-ES" w:eastAsia="es-ES"/>
              </w:rPr>
              <w:t>)</w:t>
            </w:r>
          </w:p>
        </w:tc>
        <w:tc>
          <w:tcPr>
            <w:tcW w:w="180" w:type="dxa"/>
            <w:tcBorders>
              <w:top w:val="nil"/>
              <w:left w:val="nil"/>
              <w:bottom w:val="nil"/>
              <w:right w:val="nil"/>
            </w:tcBorders>
            <w:shd w:val="clear" w:color="auto" w:fill="auto"/>
            <w:noWrap/>
            <w:vAlign w:val="center"/>
            <w:hideMark/>
          </w:tcPr>
          <w:p w14:paraId="132176A2"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05D0E405"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39C84C0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43%</w:t>
            </w:r>
          </w:p>
        </w:tc>
        <w:tc>
          <w:tcPr>
            <w:tcW w:w="671" w:type="dxa"/>
            <w:tcBorders>
              <w:top w:val="nil"/>
              <w:left w:val="nil"/>
              <w:bottom w:val="nil"/>
              <w:right w:val="nil"/>
            </w:tcBorders>
            <w:shd w:val="clear" w:color="auto" w:fill="auto"/>
            <w:noWrap/>
            <w:vAlign w:val="center"/>
            <w:hideMark/>
          </w:tcPr>
          <w:p w14:paraId="5418F1C5"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40%</w:t>
            </w:r>
          </w:p>
        </w:tc>
        <w:tc>
          <w:tcPr>
            <w:tcW w:w="514" w:type="dxa"/>
            <w:tcBorders>
              <w:top w:val="nil"/>
              <w:left w:val="nil"/>
              <w:bottom w:val="nil"/>
              <w:right w:val="nil"/>
            </w:tcBorders>
            <w:shd w:val="clear" w:color="auto" w:fill="auto"/>
            <w:noWrap/>
            <w:vAlign w:val="center"/>
            <w:hideMark/>
          </w:tcPr>
          <w:p w14:paraId="5BFFF4D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0561F4D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19FAB02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4145808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2261384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42%</w:t>
            </w:r>
          </w:p>
        </w:tc>
        <w:tc>
          <w:tcPr>
            <w:tcW w:w="671" w:type="dxa"/>
            <w:tcBorders>
              <w:top w:val="nil"/>
              <w:left w:val="nil"/>
              <w:bottom w:val="nil"/>
              <w:right w:val="nil"/>
            </w:tcBorders>
            <w:shd w:val="clear" w:color="auto" w:fill="auto"/>
            <w:noWrap/>
            <w:vAlign w:val="center"/>
            <w:hideMark/>
          </w:tcPr>
          <w:p w14:paraId="06B9B9B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40.7%</w:t>
            </w:r>
          </w:p>
        </w:tc>
        <w:tc>
          <w:tcPr>
            <w:tcW w:w="514" w:type="dxa"/>
            <w:tcBorders>
              <w:top w:val="nil"/>
              <w:left w:val="nil"/>
              <w:bottom w:val="nil"/>
              <w:right w:val="nil"/>
            </w:tcBorders>
            <w:shd w:val="clear" w:color="auto" w:fill="auto"/>
            <w:noWrap/>
            <w:vAlign w:val="center"/>
            <w:hideMark/>
          </w:tcPr>
          <w:p w14:paraId="1E166FD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5DCDFE3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429FA0F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00EFC52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096C433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42%</w:t>
            </w:r>
          </w:p>
        </w:tc>
        <w:tc>
          <w:tcPr>
            <w:tcW w:w="671" w:type="dxa"/>
            <w:tcBorders>
              <w:top w:val="nil"/>
              <w:left w:val="nil"/>
              <w:bottom w:val="nil"/>
              <w:right w:val="nil"/>
            </w:tcBorders>
            <w:shd w:val="clear" w:color="auto" w:fill="auto"/>
            <w:noWrap/>
            <w:vAlign w:val="center"/>
            <w:hideMark/>
          </w:tcPr>
          <w:p w14:paraId="195A5B3D"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5.2%</w:t>
            </w:r>
          </w:p>
        </w:tc>
        <w:tc>
          <w:tcPr>
            <w:tcW w:w="514" w:type="dxa"/>
            <w:tcBorders>
              <w:top w:val="nil"/>
              <w:left w:val="nil"/>
              <w:bottom w:val="nil"/>
              <w:right w:val="nil"/>
            </w:tcBorders>
            <w:shd w:val="clear" w:color="auto" w:fill="auto"/>
            <w:noWrap/>
            <w:vAlign w:val="center"/>
            <w:hideMark/>
          </w:tcPr>
          <w:p w14:paraId="3A6AE72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32317C0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2F70AA2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103D8E0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02E5C216"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31BC08E7"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xml:space="preserve">Living </w:t>
            </w:r>
            <w:proofErr w:type="spellStart"/>
            <w:r w:rsidRPr="008D4557">
              <w:rPr>
                <w:rFonts w:ascii="Arial" w:eastAsia="Times New Roman" w:hAnsi="Arial" w:cs="Arial"/>
                <w:color w:val="000000"/>
                <w:sz w:val="20"/>
                <w:szCs w:val="20"/>
                <w:lang w:val="es-ES" w:eastAsia="es-ES"/>
              </w:rPr>
              <w:t>with</w:t>
            </w:r>
            <w:proofErr w:type="spellEnd"/>
            <w:r w:rsidRPr="008D4557">
              <w:rPr>
                <w:rFonts w:ascii="Arial" w:eastAsia="Times New Roman" w:hAnsi="Arial" w:cs="Arial"/>
                <w:color w:val="000000"/>
                <w:sz w:val="20"/>
                <w:szCs w:val="20"/>
                <w:lang w:val="es-ES" w:eastAsia="es-ES"/>
              </w:rPr>
              <w:t xml:space="preserve"> </w:t>
            </w:r>
            <w:proofErr w:type="spellStart"/>
            <w:r w:rsidRPr="008D4557">
              <w:rPr>
                <w:rFonts w:ascii="Arial" w:eastAsia="Times New Roman" w:hAnsi="Arial" w:cs="Arial"/>
                <w:color w:val="000000"/>
                <w:sz w:val="20"/>
                <w:szCs w:val="20"/>
                <w:lang w:val="es-ES" w:eastAsia="es-ES"/>
              </w:rPr>
              <w:t>partner+kids</w:t>
            </w:r>
            <w:proofErr w:type="spellEnd"/>
          </w:p>
        </w:tc>
        <w:tc>
          <w:tcPr>
            <w:tcW w:w="180" w:type="dxa"/>
            <w:tcBorders>
              <w:top w:val="nil"/>
              <w:left w:val="nil"/>
              <w:bottom w:val="nil"/>
              <w:right w:val="nil"/>
            </w:tcBorders>
            <w:shd w:val="clear" w:color="auto" w:fill="auto"/>
            <w:noWrap/>
            <w:vAlign w:val="center"/>
            <w:hideMark/>
          </w:tcPr>
          <w:p w14:paraId="15AE4ADB"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5A7A6B3B"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25708EB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30%</w:t>
            </w:r>
          </w:p>
        </w:tc>
        <w:tc>
          <w:tcPr>
            <w:tcW w:w="671" w:type="dxa"/>
            <w:tcBorders>
              <w:top w:val="nil"/>
              <w:left w:val="nil"/>
              <w:bottom w:val="nil"/>
              <w:right w:val="nil"/>
            </w:tcBorders>
            <w:shd w:val="clear" w:color="auto" w:fill="auto"/>
            <w:noWrap/>
            <w:vAlign w:val="center"/>
            <w:hideMark/>
          </w:tcPr>
          <w:p w14:paraId="6A1F41D1"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32%</w:t>
            </w:r>
          </w:p>
        </w:tc>
        <w:tc>
          <w:tcPr>
            <w:tcW w:w="514" w:type="dxa"/>
            <w:tcBorders>
              <w:top w:val="nil"/>
              <w:left w:val="nil"/>
              <w:bottom w:val="nil"/>
              <w:right w:val="nil"/>
            </w:tcBorders>
            <w:shd w:val="clear" w:color="auto" w:fill="auto"/>
            <w:noWrap/>
            <w:vAlign w:val="center"/>
            <w:hideMark/>
          </w:tcPr>
          <w:p w14:paraId="4C2CD22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-0.01</w:t>
            </w:r>
          </w:p>
        </w:tc>
        <w:tc>
          <w:tcPr>
            <w:tcW w:w="514" w:type="dxa"/>
            <w:tcBorders>
              <w:top w:val="nil"/>
              <w:left w:val="nil"/>
              <w:bottom w:val="nil"/>
              <w:right w:val="nil"/>
            </w:tcBorders>
            <w:shd w:val="clear" w:color="auto" w:fill="auto"/>
            <w:noWrap/>
            <w:vAlign w:val="center"/>
            <w:hideMark/>
          </w:tcPr>
          <w:p w14:paraId="6E8628B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0.99</w:t>
            </w:r>
          </w:p>
        </w:tc>
        <w:tc>
          <w:tcPr>
            <w:tcW w:w="907" w:type="dxa"/>
            <w:tcBorders>
              <w:top w:val="nil"/>
              <w:left w:val="nil"/>
              <w:bottom w:val="nil"/>
              <w:right w:val="nil"/>
            </w:tcBorders>
            <w:shd w:val="clear" w:color="auto" w:fill="auto"/>
            <w:noWrap/>
            <w:vAlign w:val="center"/>
            <w:hideMark/>
          </w:tcPr>
          <w:p w14:paraId="2BD49719"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0.97-1.01</w:t>
            </w:r>
          </w:p>
        </w:tc>
        <w:tc>
          <w:tcPr>
            <w:tcW w:w="415" w:type="dxa"/>
            <w:tcBorders>
              <w:top w:val="nil"/>
              <w:left w:val="nil"/>
              <w:bottom w:val="nil"/>
              <w:right w:val="nil"/>
            </w:tcBorders>
            <w:shd w:val="clear" w:color="auto" w:fill="auto"/>
            <w:noWrap/>
            <w:vAlign w:val="center"/>
            <w:hideMark/>
          </w:tcPr>
          <w:p w14:paraId="15B570E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6CB9FB9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21%</w:t>
            </w:r>
          </w:p>
        </w:tc>
        <w:tc>
          <w:tcPr>
            <w:tcW w:w="671" w:type="dxa"/>
            <w:tcBorders>
              <w:top w:val="nil"/>
              <w:left w:val="nil"/>
              <w:bottom w:val="nil"/>
              <w:right w:val="nil"/>
            </w:tcBorders>
            <w:shd w:val="clear" w:color="auto" w:fill="auto"/>
            <w:noWrap/>
            <w:vAlign w:val="center"/>
            <w:hideMark/>
          </w:tcPr>
          <w:p w14:paraId="35F5418C"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47.1%</w:t>
            </w:r>
          </w:p>
        </w:tc>
        <w:tc>
          <w:tcPr>
            <w:tcW w:w="514" w:type="dxa"/>
            <w:tcBorders>
              <w:top w:val="nil"/>
              <w:left w:val="nil"/>
              <w:bottom w:val="nil"/>
              <w:right w:val="nil"/>
            </w:tcBorders>
            <w:shd w:val="clear" w:color="auto" w:fill="auto"/>
            <w:noWrap/>
            <w:vAlign w:val="center"/>
            <w:hideMark/>
          </w:tcPr>
          <w:p w14:paraId="1CE0572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0.12</w:t>
            </w:r>
          </w:p>
        </w:tc>
        <w:tc>
          <w:tcPr>
            <w:tcW w:w="617" w:type="dxa"/>
            <w:tcBorders>
              <w:top w:val="nil"/>
              <w:left w:val="nil"/>
              <w:bottom w:val="nil"/>
              <w:right w:val="nil"/>
            </w:tcBorders>
            <w:shd w:val="clear" w:color="auto" w:fill="auto"/>
            <w:noWrap/>
            <w:vAlign w:val="center"/>
            <w:hideMark/>
          </w:tcPr>
          <w:p w14:paraId="657D1F7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1.13</w:t>
            </w:r>
          </w:p>
        </w:tc>
        <w:tc>
          <w:tcPr>
            <w:tcW w:w="907" w:type="dxa"/>
            <w:tcBorders>
              <w:top w:val="nil"/>
              <w:left w:val="nil"/>
              <w:bottom w:val="nil"/>
              <w:right w:val="nil"/>
            </w:tcBorders>
            <w:shd w:val="clear" w:color="auto" w:fill="auto"/>
            <w:noWrap/>
            <w:vAlign w:val="center"/>
            <w:hideMark/>
          </w:tcPr>
          <w:p w14:paraId="0C2D8C20"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1.10-1.15</w:t>
            </w:r>
          </w:p>
        </w:tc>
        <w:tc>
          <w:tcPr>
            <w:tcW w:w="415" w:type="dxa"/>
            <w:tcBorders>
              <w:top w:val="nil"/>
              <w:left w:val="nil"/>
              <w:bottom w:val="nil"/>
              <w:right w:val="nil"/>
            </w:tcBorders>
            <w:shd w:val="clear" w:color="auto" w:fill="auto"/>
            <w:noWrap/>
            <w:vAlign w:val="center"/>
            <w:hideMark/>
          </w:tcPr>
          <w:p w14:paraId="4A65645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2EC6563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21%</w:t>
            </w:r>
          </w:p>
        </w:tc>
        <w:tc>
          <w:tcPr>
            <w:tcW w:w="671" w:type="dxa"/>
            <w:tcBorders>
              <w:top w:val="nil"/>
              <w:left w:val="nil"/>
              <w:bottom w:val="nil"/>
              <w:right w:val="nil"/>
            </w:tcBorders>
            <w:shd w:val="clear" w:color="auto" w:fill="auto"/>
            <w:noWrap/>
            <w:vAlign w:val="center"/>
            <w:hideMark/>
          </w:tcPr>
          <w:p w14:paraId="09E626D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4.1%</w:t>
            </w:r>
          </w:p>
        </w:tc>
        <w:tc>
          <w:tcPr>
            <w:tcW w:w="514" w:type="dxa"/>
            <w:tcBorders>
              <w:top w:val="nil"/>
              <w:left w:val="nil"/>
              <w:bottom w:val="nil"/>
              <w:right w:val="nil"/>
            </w:tcBorders>
            <w:shd w:val="clear" w:color="auto" w:fill="auto"/>
            <w:noWrap/>
            <w:vAlign w:val="center"/>
            <w:hideMark/>
          </w:tcPr>
          <w:p w14:paraId="5D6CDC0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0.18</w:t>
            </w:r>
          </w:p>
        </w:tc>
        <w:tc>
          <w:tcPr>
            <w:tcW w:w="680" w:type="dxa"/>
            <w:tcBorders>
              <w:top w:val="nil"/>
              <w:left w:val="nil"/>
              <w:bottom w:val="nil"/>
              <w:right w:val="nil"/>
            </w:tcBorders>
            <w:shd w:val="clear" w:color="auto" w:fill="auto"/>
            <w:noWrap/>
            <w:vAlign w:val="center"/>
            <w:hideMark/>
          </w:tcPr>
          <w:p w14:paraId="34429F5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1.19</w:t>
            </w:r>
          </w:p>
        </w:tc>
        <w:tc>
          <w:tcPr>
            <w:tcW w:w="907" w:type="dxa"/>
            <w:gridSpan w:val="2"/>
            <w:tcBorders>
              <w:top w:val="nil"/>
              <w:left w:val="nil"/>
              <w:bottom w:val="nil"/>
              <w:right w:val="nil"/>
            </w:tcBorders>
            <w:shd w:val="clear" w:color="auto" w:fill="auto"/>
            <w:noWrap/>
            <w:vAlign w:val="center"/>
            <w:hideMark/>
          </w:tcPr>
          <w:p w14:paraId="7AE68990"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1.12-1.27</w:t>
            </w:r>
          </w:p>
        </w:tc>
        <w:tc>
          <w:tcPr>
            <w:tcW w:w="415" w:type="dxa"/>
            <w:gridSpan w:val="2"/>
            <w:tcBorders>
              <w:top w:val="nil"/>
              <w:left w:val="nil"/>
              <w:bottom w:val="nil"/>
              <w:right w:val="nil"/>
            </w:tcBorders>
            <w:shd w:val="clear" w:color="auto" w:fill="auto"/>
            <w:noWrap/>
            <w:vAlign w:val="center"/>
            <w:hideMark/>
          </w:tcPr>
          <w:p w14:paraId="793860C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r>
      <w:tr w:rsidR="008D4557" w:rsidRPr="008D4557" w14:paraId="354123E2"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435368F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Living Alone</w:t>
            </w:r>
          </w:p>
        </w:tc>
        <w:tc>
          <w:tcPr>
            <w:tcW w:w="180" w:type="dxa"/>
            <w:tcBorders>
              <w:top w:val="nil"/>
              <w:left w:val="nil"/>
              <w:bottom w:val="nil"/>
              <w:right w:val="nil"/>
            </w:tcBorders>
            <w:shd w:val="clear" w:color="auto" w:fill="auto"/>
            <w:noWrap/>
            <w:vAlign w:val="center"/>
            <w:hideMark/>
          </w:tcPr>
          <w:p w14:paraId="71EF5EB8"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07119B27"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4979E6A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15%</w:t>
            </w:r>
          </w:p>
        </w:tc>
        <w:tc>
          <w:tcPr>
            <w:tcW w:w="671" w:type="dxa"/>
            <w:tcBorders>
              <w:top w:val="nil"/>
              <w:left w:val="nil"/>
              <w:bottom w:val="nil"/>
              <w:right w:val="nil"/>
            </w:tcBorders>
            <w:shd w:val="clear" w:color="auto" w:fill="auto"/>
            <w:noWrap/>
            <w:vAlign w:val="center"/>
            <w:hideMark/>
          </w:tcPr>
          <w:p w14:paraId="6491A8E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47%</w:t>
            </w:r>
          </w:p>
        </w:tc>
        <w:tc>
          <w:tcPr>
            <w:tcW w:w="514" w:type="dxa"/>
            <w:tcBorders>
              <w:top w:val="nil"/>
              <w:left w:val="nil"/>
              <w:bottom w:val="nil"/>
              <w:right w:val="nil"/>
            </w:tcBorders>
            <w:shd w:val="clear" w:color="auto" w:fill="auto"/>
            <w:noWrap/>
            <w:vAlign w:val="center"/>
            <w:hideMark/>
          </w:tcPr>
          <w:p w14:paraId="430A37E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0.06</w:t>
            </w:r>
          </w:p>
        </w:tc>
        <w:tc>
          <w:tcPr>
            <w:tcW w:w="514" w:type="dxa"/>
            <w:tcBorders>
              <w:top w:val="nil"/>
              <w:left w:val="nil"/>
              <w:bottom w:val="nil"/>
              <w:right w:val="nil"/>
            </w:tcBorders>
            <w:shd w:val="clear" w:color="auto" w:fill="auto"/>
            <w:noWrap/>
            <w:vAlign w:val="center"/>
            <w:hideMark/>
          </w:tcPr>
          <w:p w14:paraId="7A10894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1.06</w:t>
            </w:r>
          </w:p>
        </w:tc>
        <w:tc>
          <w:tcPr>
            <w:tcW w:w="907" w:type="dxa"/>
            <w:tcBorders>
              <w:top w:val="nil"/>
              <w:left w:val="nil"/>
              <w:bottom w:val="nil"/>
              <w:right w:val="nil"/>
            </w:tcBorders>
            <w:shd w:val="clear" w:color="auto" w:fill="auto"/>
            <w:noWrap/>
            <w:vAlign w:val="center"/>
            <w:hideMark/>
          </w:tcPr>
          <w:p w14:paraId="676ECD71"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1.04-1.08</w:t>
            </w:r>
          </w:p>
        </w:tc>
        <w:tc>
          <w:tcPr>
            <w:tcW w:w="415" w:type="dxa"/>
            <w:tcBorders>
              <w:top w:val="nil"/>
              <w:left w:val="nil"/>
              <w:bottom w:val="nil"/>
              <w:right w:val="nil"/>
            </w:tcBorders>
            <w:shd w:val="clear" w:color="auto" w:fill="auto"/>
            <w:noWrap/>
            <w:vAlign w:val="center"/>
            <w:hideMark/>
          </w:tcPr>
          <w:p w14:paraId="20CC5CD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5B136AF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20%</w:t>
            </w:r>
          </w:p>
        </w:tc>
        <w:tc>
          <w:tcPr>
            <w:tcW w:w="671" w:type="dxa"/>
            <w:tcBorders>
              <w:top w:val="nil"/>
              <w:left w:val="nil"/>
              <w:bottom w:val="nil"/>
              <w:right w:val="nil"/>
            </w:tcBorders>
            <w:shd w:val="clear" w:color="auto" w:fill="auto"/>
            <w:noWrap/>
            <w:vAlign w:val="center"/>
            <w:hideMark/>
          </w:tcPr>
          <w:p w14:paraId="12FA858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34.4%</w:t>
            </w:r>
          </w:p>
        </w:tc>
        <w:tc>
          <w:tcPr>
            <w:tcW w:w="514" w:type="dxa"/>
            <w:tcBorders>
              <w:top w:val="nil"/>
              <w:left w:val="nil"/>
              <w:bottom w:val="nil"/>
              <w:right w:val="nil"/>
            </w:tcBorders>
            <w:shd w:val="clear" w:color="auto" w:fill="auto"/>
            <w:noWrap/>
            <w:vAlign w:val="center"/>
            <w:hideMark/>
          </w:tcPr>
          <w:p w14:paraId="2FE16E0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-0.09</w:t>
            </w:r>
          </w:p>
        </w:tc>
        <w:tc>
          <w:tcPr>
            <w:tcW w:w="617" w:type="dxa"/>
            <w:tcBorders>
              <w:top w:val="nil"/>
              <w:left w:val="nil"/>
              <w:bottom w:val="nil"/>
              <w:right w:val="nil"/>
            </w:tcBorders>
            <w:shd w:val="clear" w:color="auto" w:fill="auto"/>
            <w:noWrap/>
            <w:vAlign w:val="center"/>
            <w:hideMark/>
          </w:tcPr>
          <w:p w14:paraId="7647B2A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0.92</w:t>
            </w:r>
          </w:p>
        </w:tc>
        <w:tc>
          <w:tcPr>
            <w:tcW w:w="907" w:type="dxa"/>
            <w:tcBorders>
              <w:top w:val="nil"/>
              <w:left w:val="nil"/>
              <w:bottom w:val="nil"/>
              <w:right w:val="nil"/>
            </w:tcBorders>
            <w:shd w:val="clear" w:color="auto" w:fill="auto"/>
            <w:noWrap/>
            <w:vAlign w:val="center"/>
            <w:hideMark/>
          </w:tcPr>
          <w:p w14:paraId="379E7B6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0.89-0.94</w:t>
            </w:r>
          </w:p>
        </w:tc>
        <w:tc>
          <w:tcPr>
            <w:tcW w:w="415" w:type="dxa"/>
            <w:tcBorders>
              <w:top w:val="nil"/>
              <w:left w:val="nil"/>
              <w:bottom w:val="nil"/>
              <w:right w:val="nil"/>
            </w:tcBorders>
            <w:shd w:val="clear" w:color="auto" w:fill="auto"/>
            <w:noWrap/>
            <w:vAlign w:val="center"/>
            <w:hideMark/>
          </w:tcPr>
          <w:p w14:paraId="55F0EF4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1717DD2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20%</w:t>
            </w:r>
          </w:p>
        </w:tc>
        <w:tc>
          <w:tcPr>
            <w:tcW w:w="671" w:type="dxa"/>
            <w:tcBorders>
              <w:top w:val="nil"/>
              <w:left w:val="nil"/>
              <w:bottom w:val="nil"/>
              <w:right w:val="nil"/>
            </w:tcBorders>
            <w:shd w:val="clear" w:color="auto" w:fill="auto"/>
            <w:noWrap/>
            <w:vAlign w:val="center"/>
            <w:hideMark/>
          </w:tcPr>
          <w:p w14:paraId="098C8FD1"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0.1%</w:t>
            </w:r>
          </w:p>
        </w:tc>
        <w:tc>
          <w:tcPr>
            <w:tcW w:w="514" w:type="dxa"/>
            <w:tcBorders>
              <w:top w:val="nil"/>
              <w:left w:val="nil"/>
              <w:bottom w:val="nil"/>
              <w:right w:val="nil"/>
            </w:tcBorders>
            <w:shd w:val="clear" w:color="auto" w:fill="auto"/>
            <w:noWrap/>
            <w:vAlign w:val="center"/>
            <w:hideMark/>
          </w:tcPr>
          <w:p w14:paraId="70760C8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-4.56</w:t>
            </w:r>
          </w:p>
        </w:tc>
        <w:tc>
          <w:tcPr>
            <w:tcW w:w="680" w:type="dxa"/>
            <w:tcBorders>
              <w:top w:val="nil"/>
              <w:left w:val="nil"/>
              <w:bottom w:val="nil"/>
              <w:right w:val="nil"/>
            </w:tcBorders>
            <w:shd w:val="clear" w:color="auto" w:fill="auto"/>
            <w:noWrap/>
            <w:vAlign w:val="center"/>
            <w:hideMark/>
          </w:tcPr>
          <w:p w14:paraId="7BCC964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0.01</w:t>
            </w:r>
          </w:p>
        </w:tc>
        <w:tc>
          <w:tcPr>
            <w:tcW w:w="907" w:type="dxa"/>
            <w:gridSpan w:val="2"/>
            <w:tcBorders>
              <w:top w:val="nil"/>
              <w:left w:val="nil"/>
              <w:bottom w:val="nil"/>
              <w:right w:val="nil"/>
            </w:tcBorders>
            <w:shd w:val="clear" w:color="auto" w:fill="auto"/>
            <w:noWrap/>
            <w:vAlign w:val="center"/>
            <w:hideMark/>
          </w:tcPr>
          <w:p w14:paraId="72AEE56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0.01-0.02</w:t>
            </w:r>
          </w:p>
        </w:tc>
        <w:tc>
          <w:tcPr>
            <w:tcW w:w="415" w:type="dxa"/>
            <w:gridSpan w:val="2"/>
            <w:tcBorders>
              <w:top w:val="nil"/>
              <w:left w:val="nil"/>
              <w:bottom w:val="nil"/>
              <w:right w:val="nil"/>
            </w:tcBorders>
            <w:shd w:val="clear" w:color="auto" w:fill="auto"/>
            <w:noWrap/>
            <w:vAlign w:val="center"/>
            <w:hideMark/>
          </w:tcPr>
          <w:p w14:paraId="3AA3B41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r>
      <w:tr w:rsidR="008D4557" w:rsidRPr="008D4557" w14:paraId="422CD90D"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1F0A7829"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xml:space="preserve">Living </w:t>
            </w:r>
            <w:proofErr w:type="spellStart"/>
            <w:r w:rsidRPr="008D4557">
              <w:rPr>
                <w:rFonts w:ascii="Arial" w:eastAsia="Times New Roman" w:hAnsi="Arial" w:cs="Arial"/>
                <w:color w:val="000000"/>
                <w:sz w:val="20"/>
                <w:szCs w:val="20"/>
                <w:lang w:val="es-ES" w:eastAsia="es-ES"/>
              </w:rPr>
              <w:t>with</w:t>
            </w:r>
            <w:proofErr w:type="spellEnd"/>
            <w:r w:rsidRPr="008D4557">
              <w:rPr>
                <w:rFonts w:ascii="Arial" w:eastAsia="Times New Roman" w:hAnsi="Arial" w:cs="Arial"/>
                <w:color w:val="000000"/>
                <w:sz w:val="20"/>
                <w:szCs w:val="20"/>
                <w:lang w:val="es-ES" w:eastAsia="es-ES"/>
              </w:rPr>
              <w:t xml:space="preserve"> </w:t>
            </w:r>
            <w:proofErr w:type="spellStart"/>
            <w:r w:rsidRPr="008D4557">
              <w:rPr>
                <w:rFonts w:ascii="Arial" w:eastAsia="Times New Roman" w:hAnsi="Arial" w:cs="Arial"/>
                <w:color w:val="000000"/>
                <w:sz w:val="20"/>
                <w:szCs w:val="20"/>
                <w:lang w:val="es-ES" w:eastAsia="es-ES"/>
              </w:rPr>
              <w:t>others</w:t>
            </w:r>
            <w:proofErr w:type="spellEnd"/>
          </w:p>
        </w:tc>
        <w:tc>
          <w:tcPr>
            <w:tcW w:w="180" w:type="dxa"/>
            <w:tcBorders>
              <w:top w:val="nil"/>
              <w:left w:val="nil"/>
              <w:bottom w:val="nil"/>
              <w:right w:val="nil"/>
            </w:tcBorders>
            <w:shd w:val="clear" w:color="auto" w:fill="auto"/>
            <w:noWrap/>
            <w:vAlign w:val="center"/>
            <w:hideMark/>
          </w:tcPr>
          <w:p w14:paraId="6FB07550"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5F9175A5"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6A5B373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12%</w:t>
            </w:r>
          </w:p>
        </w:tc>
        <w:tc>
          <w:tcPr>
            <w:tcW w:w="671" w:type="dxa"/>
            <w:tcBorders>
              <w:top w:val="nil"/>
              <w:left w:val="nil"/>
              <w:bottom w:val="nil"/>
              <w:right w:val="nil"/>
            </w:tcBorders>
            <w:shd w:val="clear" w:color="auto" w:fill="auto"/>
            <w:noWrap/>
            <w:vAlign w:val="center"/>
            <w:hideMark/>
          </w:tcPr>
          <w:p w14:paraId="486352D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43%</w:t>
            </w:r>
          </w:p>
        </w:tc>
        <w:tc>
          <w:tcPr>
            <w:tcW w:w="514" w:type="dxa"/>
            <w:tcBorders>
              <w:top w:val="nil"/>
              <w:left w:val="nil"/>
              <w:bottom w:val="nil"/>
              <w:right w:val="nil"/>
            </w:tcBorders>
            <w:shd w:val="clear" w:color="auto" w:fill="auto"/>
            <w:noWrap/>
            <w:vAlign w:val="center"/>
            <w:hideMark/>
          </w:tcPr>
          <w:p w14:paraId="256DCB9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0.03</w:t>
            </w:r>
          </w:p>
        </w:tc>
        <w:tc>
          <w:tcPr>
            <w:tcW w:w="514" w:type="dxa"/>
            <w:tcBorders>
              <w:top w:val="nil"/>
              <w:left w:val="nil"/>
              <w:bottom w:val="nil"/>
              <w:right w:val="nil"/>
            </w:tcBorders>
            <w:shd w:val="clear" w:color="auto" w:fill="auto"/>
            <w:noWrap/>
            <w:vAlign w:val="center"/>
            <w:hideMark/>
          </w:tcPr>
          <w:p w14:paraId="002900C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1.03</w:t>
            </w:r>
          </w:p>
        </w:tc>
        <w:tc>
          <w:tcPr>
            <w:tcW w:w="907" w:type="dxa"/>
            <w:tcBorders>
              <w:top w:val="nil"/>
              <w:left w:val="nil"/>
              <w:bottom w:val="nil"/>
              <w:right w:val="nil"/>
            </w:tcBorders>
            <w:shd w:val="clear" w:color="auto" w:fill="auto"/>
            <w:noWrap/>
            <w:vAlign w:val="center"/>
            <w:hideMark/>
          </w:tcPr>
          <w:p w14:paraId="400FBBB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1.01-1.06</w:t>
            </w:r>
          </w:p>
        </w:tc>
        <w:tc>
          <w:tcPr>
            <w:tcW w:w="415" w:type="dxa"/>
            <w:tcBorders>
              <w:top w:val="nil"/>
              <w:left w:val="nil"/>
              <w:bottom w:val="nil"/>
              <w:right w:val="nil"/>
            </w:tcBorders>
            <w:shd w:val="clear" w:color="auto" w:fill="auto"/>
            <w:noWrap/>
            <w:vAlign w:val="center"/>
            <w:hideMark/>
          </w:tcPr>
          <w:p w14:paraId="36A14B2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64CBE53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16%</w:t>
            </w:r>
          </w:p>
        </w:tc>
        <w:tc>
          <w:tcPr>
            <w:tcW w:w="671" w:type="dxa"/>
            <w:tcBorders>
              <w:top w:val="nil"/>
              <w:left w:val="nil"/>
              <w:bottom w:val="nil"/>
              <w:right w:val="nil"/>
            </w:tcBorders>
            <w:shd w:val="clear" w:color="auto" w:fill="auto"/>
            <w:noWrap/>
            <w:vAlign w:val="center"/>
            <w:hideMark/>
          </w:tcPr>
          <w:p w14:paraId="7D25399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32.3%</w:t>
            </w:r>
          </w:p>
        </w:tc>
        <w:tc>
          <w:tcPr>
            <w:tcW w:w="514" w:type="dxa"/>
            <w:tcBorders>
              <w:top w:val="nil"/>
              <w:left w:val="nil"/>
              <w:bottom w:val="nil"/>
              <w:right w:val="nil"/>
            </w:tcBorders>
            <w:shd w:val="clear" w:color="auto" w:fill="auto"/>
            <w:noWrap/>
            <w:vAlign w:val="center"/>
            <w:hideMark/>
          </w:tcPr>
          <w:p w14:paraId="181FEC3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-0.15</w:t>
            </w:r>
          </w:p>
        </w:tc>
        <w:tc>
          <w:tcPr>
            <w:tcW w:w="617" w:type="dxa"/>
            <w:tcBorders>
              <w:top w:val="nil"/>
              <w:left w:val="nil"/>
              <w:bottom w:val="nil"/>
              <w:right w:val="nil"/>
            </w:tcBorders>
            <w:shd w:val="clear" w:color="auto" w:fill="auto"/>
            <w:noWrap/>
            <w:vAlign w:val="center"/>
            <w:hideMark/>
          </w:tcPr>
          <w:p w14:paraId="1BB5CC0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0.86</w:t>
            </w:r>
          </w:p>
        </w:tc>
        <w:tc>
          <w:tcPr>
            <w:tcW w:w="907" w:type="dxa"/>
            <w:tcBorders>
              <w:top w:val="nil"/>
              <w:left w:val="nil"/>
              <w:bottom w:val="nil"/>
              <w:right w:val="nil"/>
            </w:tcBorders>
            <w:shd w:val="clear" w:color="auto" w:fill="auto"/>
            <w:noWrap/>
            <w:vAlign w:val="center"/>
            <w:hideMark/>
          </w:tcPr>
          <w:p w14:paraId="2860FE6A"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0.83-0.88</w:t>
            </w:r>
          </w:p>
        </w:tc>
        <w:tc>
          <w:tcPr>
            <w:tcW w:w="415" w:type="dxa"/>
            <w:tcBorders>
              <w:top w:val="nil"/>
              <w:left w:val="nil"/>
              <w:bottom w:val="nil"/>
              <w:right w:val="nil"/>
            </w:tcBorders>
            <w:shd w:val="clear" w:color="auto" w:fill="auto"/>
            <w:noWrap/>
            <w:vAlign w:val="center"/>
            <w:hideMark/>
          </w:tcPr>
          <w:p w14:paraId="2C0CE22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054BD99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16%</w:t>
            </w:r>
          </w:p>
        </w:tc>
        <w:tc>
          <w:tcPr>
            <w:tcW w:w="671" w:type="dxa"/>
            <w:tcBorders>
              <w:top w:val="nil"/>
              <w:left w:val="nil"/>
              <w:bottom w:val="nil"/>
              <w:right w:val="nil"/>
            </w:tcBorders>
            <w:shd w:val="clear" w:color="auto" w:fill="auto"/>
            <w:noWrap/>
            <w:vAlign w:val="center"/>
            <w:hideMark/>
          </w:tcPr>
          <w:p w14:paraId="49E83CC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10.8%</w:t>
            </w:r>
          </w:p>
        </w:tc>
        <w:tc>
          <w:tcPr>
            <w:tcW w:w="514" w:type="dxa"/>
            <w:tcBorders>
              <w:top w:val="nil"/>
              <w:left w:val="nil"/>
              <w:bottom w:val="nil"/>
              <w:right w:val="nil"/>
            </w:tcBorders>
            <w:shd w:val="clear" w:color="auto" w:fill="auto"/>
            <w:noWrap/>
            <w:vAlign w:val="center"/>
            <w:hideMark/>
          </w:tcPr>
          <w:p w14:paraId="6D70182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0.62</w:t>
            </w:r>
          </w:p>
        </w:tc>
        <w:tc>
          <w:tcPr>
            <w:tcW w:w="680" w:type="dxa"/>
            <w:tcBorders>
              <w:top w:val="nil"/>
              <w:left w:val="nil"/>
              <w:bottom w:val="nil"/>
              <w:right w:val="nil"/>
            </w:tcBorders>
            <w:shd w:val="clear" w:color="auto" w:fill="auto"/>
            <w:noWrap/>
            <w:vAlign w:val="center"/>
            <w:hideMark/>
          </w:tcPr>
          <w:p w14:paraId="005B47B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1.86</w:t>
            </w:r>
          </w:p>
        </w:tc>
        <w:tc>
          <w:tcPr>
            <w:tcW w:w="907" w:type="dxa"/>
            <w:gridSpan w:val="2"/>
            <w:tcBorders>
              <w:top w:val="nil"/>
              <w:left w:val="nil"/>
              <w:bottom w:val="nil"/>
              <w:right w:val="nil"/>
            </w:tcBorders>
            <w:shd w:val="clear" w:color="auto" w:fill="auto"/>
            <w:noWrap/>
            <w:vAlign w:val="center"/>
            <w:hideMark/>
          </w:tcPr>
          <w:p w14:paraId="48DA1BB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1.76-1.98</w:t>
            </w:r>
          </w:p>
        </w:tc>
        <w:tc>
          <w:tcPr>
            <w:tcW w:w="415" w:type="dxa"/>
            <w:gridSpan w:val="2"/>
            <w:tcBorders>
              <w:top w:val="nil"/>
              <w:left w:val="nil"/>
              <w:bottom w:val="nil"/>
              <w:right w:val="nil"/>
            </w:tcBorders>
            <w:shd w:val="clear" w:color="auto" w:fill="auto"/>
            <w:noWrap/>
            <w:vAlign w:val="center"/>
            <w:hideMark/>
          </w:tcPr>
          <w:p w14:paraId="7265B06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r>
      <w:tr w:rsidR="008D4557" w:rsidRPr="008D4557" w14:paraId="35FCF726"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tcPr>
          <w:p w14:paraId="4D8F90C7" w14:textId="77777777" w:rsidR="00416D9D" w:rsidRPr="008D4557" w:rsidRDefault="00416D9D" w:rsidP="00416D9D">
            <w:pPr>
              <w:spacing w:after="0" w:line="240" w:lineRule="auto"/>
              <w:jc w:val="right"/>
              <w:rPr>
                <w:rFonts w:ascii="Arial" w:eastAsia="Times New Roman" w:hAnsi="Arial" w:cs="Arial"/>
                <w:bCs/>
                <w:i/>
                <w:iCs/>
                <w:color w:val="000000"/>
                <w:sz w:val="20"/>
                <w:szCs w:val="20"/>
                <w:u w:val="single"/>
                <w:lang w:val="es-ES" w:eastAsia="es-ES"/>
              </w:rPr>
            </w:pPr>
          </w:p>
        </w:tc>
        <w:tc>
          <w:tcPr>
            <w:tcW w:w="180" w:type="dxa"/>
            <w:tcBorders>
              <w:top w:val="nil"/>
              <w:left w:val="nil"/>
              <w:bottom w:val="nil"/>
              <w:right w:val="nil"/>
            </w:tcBorders>
            <w:shd w:val="clear" w:color="auto" w:fill="auto"/>
            <w:noWrap/>
            <w:vAlign w:val="center"/>
          </w:tcPr>
          <w:p w14:paraId="17B1FFF5"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tcPr>
          <w:p w14:paraId="22B50F6E"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679" w:type="dxa"/>
            <w:tcBorders>
              <w:top w:val="nil"/>
              <w:left w:val="nil"/>
              <w:bottom w:val="nil"/>
              <w:right w:val="nil"/>
            </w:tcBorders>
            <w:shd w:val="clear" w:color="auto" w:fill="auto"/>
            <w:noWrap/>
            <w:vAlign w:val="center"/>
          </w:tcPr>
          <w:p w14:paraId="171DB5FF"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671" w:type="dxa"/>
            <w:tcBorders>
              <w:top w:val="nil"/>
              <w:left w:val="nil"/>
              <w:bottom w:val="nil"/>
              <w:right w:val="nil"/>
            </w:tcBorders>
            <w:shd w:val="clear" w:color="auto" w:fill="auto"/>
            <w:noWrap/>
            <w:vAlign w:val="center"/>
          </w:tcPr>
          <w:p w14:paraId="69DBB29A"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2C5FBC4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6FC6ACB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tcPr>
          <w:p w14:paraId="33DC8F72"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tcPr>
          <w:p w14:paraId="2F77CD4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tcPr>
          <w:p w14:paraId="220ACD80"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671" w:type="dxa"/>
            <w:tcBorders>
              <w:top w:val="nil"/>
              <w:left w:val="nil"/>
              <w:bottom w:val="nil"/>
              <w:right w:val="nil"/>
            </w:tcBorders>
            <w:shd w:val="clear" w:color="auto" w:fill="auto"/>
            <w:noWrap/>
            <w:vAlign w:val="center"/>
          </w:tcPr>
          <w:p w14:paraId="137A5D87"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5862B61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tcPr>
          <w:p w14:paraId="5DF09D7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tcPr>
          <w:p w14:paraId="72D4F960"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tcPr>
          <w:p w14:paraId="6F6FC55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tcPr>
          <w:p w14:paraId="2DF2A958"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671" w:type="dxa"/>
            <w:tcBorders>
              <w:top w:val="nil"/>
              <w:left w:val="nil"/>
              <w:bottom w:val="nil"/>
              <w:right w:val="nil"/>
            </w:tcBorders>
            <w:shd w:val="clear" w:color="auto" w:fill="auto"/>
            <w:noWrap/>
            <w:vAlign w:val="center"/>
          </w:tcPr>
          <w:p w14:paraId="51576FDB"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226B0B1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tcPr>
          <w:p w14:paraId="7F942AD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tcPr>
          <w:p w14:paraId="723D807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tcPr>
          <w:p w14:paraId="3C76D60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4848B4E8"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44A24046" w14:textId="77777777" w:rsidR="00416D9D" w:rsidRPr="008D4557" w:rsidRDefault="00416D9D" w:rsidP="00416D9D">
            <w:pPr>
              <w:spacing w:after="0" w:line="240" w:lineRule="auto"/>
              <w:jc w:val="right"/>
              <w:rPr>
                <w:rFonts w:ascii="Arial" w:eastAsia="Times New Roman" w:hAnsi="Arial" w:cs="Arial"/>
                <w:bCs/>
                <w:i/>
                <w:iCs/>
                <w:color w:val="000000"/>
                <w:sz w:val="20"/>
                <w:szCs w:val="20"/>
                <w:u w:val="single"/>
                <w:lang w:val="es-ES" w:eastAsia="es-ES"/>
              </w:rPr>
            </w:pPr>
            <w:r w:rsidRPr="008D4557">
              <w:rPr>
                <w:rFonts w:ascii="Arial" w:eastAsia="Times New Roman" w:hAnsi="Arial" w:cs="Arial"/>
                <w:bCs/>
                <w:i/>
                <w:iCs/>
                <w:color w:val="000000"/>
                <w:sz w:val="20"/>
                <w:szCs w:val="20"/>
                <w:u w:val="single"/>
                <w:lang w:val="es-ES" w:eastAsia="es-ES"/>
              </w:rPr>
              <w:t>Sex</w:t>
            </w:r>
          </w:p>
        </w:tc>
        <w:tc>
          <w:tcPr>
            <w:tcW w:w="180" w:type="dxa"/>
            <w:tcBorders>
              <w:top w:val="nil"/>
              <w:left w:val="nil"/>
              <w:bottom w:val="nil"/>
              <w:right w:val="nil"/>
            </w:tcBorders>
            <w:shd w:val="clear" w:color="auto" w:fill="auto"/>
            <w:noWrap/>
            <w:vAlign w:val="center"/>
            <w:hideMark/>
          </w:tcPr>
          <w:p w14:paraId="1F88A49C"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581FACB8"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r w:rsidRPr="008D4557">
              <w:rPr>
                <w:rFonts w:ascii="Arial" w:eastAsia="Times New Roman" w:hAnsi="Arial" w:cs="Arial"/>
                <w:bCs/>
                <w:i/>
                <w:iCs/>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5231E396"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671" w:type="dxa"/>
            <w:tcBorders>
              <w:top w:val="nil"/>
              <w:left w:val="nil"/>
              <w:bottom w:val="nil"/>
              <w:right w:val="nil"/>
            </w:tcBorders>
            <w:shd w:val="clear" w:color="auto" w:fill="auto"/>
            <w:noWrap/>
            <w:vAlign w:val="center"/>
            <w:hideMark/>
          </w:tcPr>
          <w:p w14:paraId="5EF4DC0A"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72AA50B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0AE7313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6258797A"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77391D6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6528E6D5"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r w:rsidRPr="008D4557">
              <w:rPr>
                <w:rFonts w:ascii="Times New Roman" w:eastAsia="Times New Roman" w:hAnsi="Times New Roman" w:cs="Times New Roman"/>
                <w:bCs/>
                <w:i/>
                <w:iCs/>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6D2C5610"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58EE981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544DF3B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4D8A8366"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55DFBF7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03C00E4C"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r w:rsidRPr="008D4557">
              <w:rPr>
                <w:rFonts w:ascii="Times New Roman" w:eastAsia="Times New Roman" w:hAnsi="Times New Roman" w:cs="Times New Roman"/>
                <w:bCs/>
                <w:i/>
                <w:iCs/>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79F12E95" w14:textId="77777777" w:rsidR="00416D9D" w:rsidRPr="008D4557" w:rsidRDefault="00416D9D" w:rsidP="00416D9D">
            <w:pPr>
              <w:spacing w:after="0" w:line="240" w:lineRule="auto"/>
              <w:jc w:val="right"/>
              <w:rPr>
                <w:rFonts w:ascii="Times New Roman" w:eastAsia="Times New Roman" w:hAnsi="Times New Roman" w:cs="Times New Roman"/>
                <w:bCs/>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3494F41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5164771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163A50D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563B9ED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78CD7FF3"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28510139" w14:textId="77777777" w:rsidR="00416D9D" w:rsidRPr="008D4557" w:rsidRDefault="00416D9D" w:rsidP="00416D9D">
            <w:pPr>
              <w:spacing w:after="0" w:line="240" w:lineRule="auto"/>
              <w:jc w:val="right"/>
              <w:rPr>
                <w:rFonts w:ascii="Arial" w:eastAsia="Times New Roman" w:hAnsi="Arial" w:cs="Arial"/>
                <w:i/>
                <w:iCs/>
                <w:color w:val="000000"/>
                <w:sz w:val="20"/>
                <w:szCs w:val="20"/>
                <w:lang w:val="es-ES" w:eastAsia="es-ES"/>
              </w:rPr>
            </w:pPr>
            <w:r w:rsidRPr="008D4557">
              <w:rPr>
                <w:rFonts w:ascii="Arial" w:eastAsia="Times New Roman" w:hAnsi="Arial" w:cs="Arial"/>
                <w:i/>
                <w:iCs/>
                <w:color w:val="000000"/>
                <w:sz w:val="20"/>
                <w:szCs w:val="20"/>
                <w:lang w:val="es-ES" w:eastAsia="es-ES"/>
              </w:rPr>
              <w:t>*Male(</w:t>
            </w:r>
            <w:proofErr w:type="spellStart"/>
            <w:r w:rsidRPr="008D4557">
              <w:rPr>
                <w:rFonts w:ascii="Arial" w:eastAsia="Times New Roman" w:hAnsi="Arial" w:cs="Arial"/>
                <w:i/>
                <w:iCs/>
                <w:color w:val="000000"/>
                <w:sz w:val="20"/>
                <w:szCs w:val="20"/>
                <w:lang w:val="es-ES" w:eastAsia="es-ES"/>
              </w:rPr>
              <w:t>ref</w:t>
            </w:r>
            <w:proofErr w:type="spellEnd"/>
            <w:r w:rsidRPr="008D4557">
              <w:rPr>
                <w:rFonts w:ascii="Arial" w:eastAsia="Times New Roman" w:hAnsi="Arial" w:cs="Arial"/>
                <w:i/>
                <w:iCs/>
                <w:color w:val="000000"/>
                <w:sz w:val="20"/>
                <w:szCs w:val="20"/>
                <w:lang w:val="es-ES" w:eastAsia="es-ES"/>
              </w:rPr>
              <w:t>)</w:t>
            </w:r>
          </w:p>
        </w:tc>
        <w:tc>
          <w:tcPr>
            <w:tcW w:w="180" w:type="dxa"/>
            <w:tcBorders>
              <w:top w:val="nil"/>
              <w:left w:val="nil"/>
              <w:bottom w:val="nil"/>
              <w:right w:val="nil"/>
            </w:tcBorders>
            <w:shd w:val="clear" w:color="auto" w:fill="auto"/>
            <w:noWrap/>
            <w:vAlign w:val="center"/>
            <w:hideMark/>
          </w:tcPr>
          <w:p w14:paraId="46A8B27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50D42386"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7563BBC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47%</w:t>
            </w:r>
          </w:p>
        </w:tc>
        <w:tc>
          <w:tcPr>
            <w:tcW w:w="671" w:type="dxa"/>
            <w:tcBorders>
              <w:top w:val="nil"/>
              <w:left w:val="nil"/>
              <w:bottom w:val="nil"/>
              <w:right w:val="nil"/>
            </w:tcBorders>
            <w:shd w:val="clear" w:color="auto" w:fill="auto"/>
            <w:noWrap/>
            <w:vAlign w:val="center"/>
            <w:hideMark/>
          </w:tcPr>
          <w:p w14:paraId="0E276A95"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36%</w:t>
            </w:r>
          </w:p>
        </w:tc>
        <w:tc>
          <w:tcPr>
            <w:tcW w:w="514" w:type="dxa"/>
            <w:tcBorders>
              <w:top w:val="nil"/>
              <w:left w:val="nil"/>
              <w:bottom w:val="nil"/>
              <w:right w:val="nil"/>
            </w:tcBorders>
            <w:shd w:val="clear" w:color="auto" w:fill="auto"/>
            <w:noWrap/>
            <w:vAlign w:val="center"/>
            <w:hideMark/>
          </w:tcPr>
          <w:p w14:paraId="19308CE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769A4B4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184739C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7F7FCC9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64D9E75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41%</w:t>
            </w:r>
          </w:p>
        </w:tc>
        <w:tc>
          <w:tcPr>
            <w:tcW w:w="671" w:type="dxa"/>
            <w:tcBorders>
              <w:top w:val="nil"/>
              <w:left w:val="nil"/>
              <w:bottom w:val="nil"/>
              <w:right w:val="nil"/>
            </w:tcBorders>
            <w:shd w:val="clear" w:color="auto" w:fill="auto"/>
            <w:noWrap/>
            <w:vAlign w:val="center"/>
            <w:hideMark/>
          </w:tcPr>
          <w:p w14:paraId="168D174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41.1%</w:t>
            </w:r>
          </w:p>
        </w:tc>
        <w:tc>
          <w:tcPr>
            <w:tcW w:w="514" w:type="dxa"/>
            <w:tcBorders>
              <w:top w:val="nil"/>
              <w:left w:val="nil"/>
              <w:bottom w:val="nil"/>
              <w:right w:val="nil"/>
            </w:tcBorders>
            <w:shd w:val="clear" w:color="auto" w:fill="auto"/>
            <w:noWrap/>
            <w:vAlign w:val="center"/>
            <w:hideMark/>
          </w:tcPr>
          <w:p w14:paraId="3DC2BF6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7334DC1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4DECD8EA"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124A726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4D14D59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41%</w:t>
            </w:r>
          </w:p>
        </w:tc>
        <w:tc>
          <w:tcPr>
            <w:tcW w:w="671" w:type="dxa"/>
            <w:tcBorders>
              <w:top w:val="nil"/>
              <w:left w:val="nil"/>
              <w:bottom w:val="nil"/>
              <w:right w:val="nil"/>
            </w:tcBorders>
            <w:shd w:val="clear" w:color="auto" w:fill="auto"/>
            <w:noWrap/>
            <w:vAlign w:val="center"/>
            <w:hideMark/>
          </w:tcPr>
          <w:p w14:paraId="3353678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6.5%</w:t>
            </w:r>
          </w:p>
        </w:tc>
        <w:tc>
          <w:tcPr>
            <w:tcW w:w="514" w:type="dxa"/>
            <w:tcBorders>
              <w:top w:val="nil"/>
              <w:left w:val="nil"/>
              <w:bottom w:val="nil"/>
              <w:right w:val="nil"/>
            </w:tcBorders>
            <w:shd w:val="clear" w:color="auto" w:fill="auto"/>
            <w:noWrap/>
            <w:vAlign w:val="center"/>
            <w:hideMark/>
          </w:tcPr>
          <w:p w14:paraId="21B6DC0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7F234D9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08653071"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2D001FB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6D055C7F"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7EB290A0"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roofErr w:type="spellStart"/>
            <w:r w:rsidRPr="008D4557">
              <w:rPr>
                <w:rFonts w:ascii="Arial" w:eastAsia="Times New Roman" w:hAnsi="Arial" w:cs="Arial"/>
                <w:color w:val="000000"/>
                <w:sz w:val="20"/>
                <w:szCs w:val="20"/>
                <w:lang w:val="es-ES" w:eastAsia="es-ES"/>
              </w:rPr>
              <w:t>Female</w:t>
            </w:r>
            <w:proofErr w:type="spellEnd"/>
          </w:p>
        </w:tc>
        <w:tc>
          <w:tcPr>
            <w:tcW w:w="180" w:type="dxa"/>
            <w:tcBorders>
              <w:top w:val="nil"/>
              <w:left w:val="nil"/>
              <w:bottom w:val="nil"/>
              <w:right w:val="nil"/>
            </w:tcBorders>
            <w:shd w:val="clear" w:color="auto" w:fill="auto"/>
            <w:noWrap/>
            <w:vAlign w:val="center"/>
            <w:hideMark/>
          </w:tcPr>
          <w:p w14:paraId="23633400"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2FCEB0CE"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2761894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53%</w:t>
            </w:r>
          </w:p>
        </w:tc>
        <w:tc>
          <w:tcPr>
            <w:tcW w:w="671" w:type="dxa"/>
            <w:tcBorders>
              <w:top w:val="nil"/>
              <w:left w:val="nil"/>
              <w:bottom w:val="nil"/>
              <w:right w:val="nil"/>
            </w:tcBorders>
            <w:shd w:val="clear" w:color="auto" w:fill="auto"/>
            <w:noWrap/>
            <w:vAlign w:val="center"/>
            <w:hideMark/>
          </w:tcPr>
          <w:p w14:paraId="63DC5CB5"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42%</w:t>
            </w:r>
          </w:p>
        </w:tc>
        <w:tc>
          <w:tcPr>
            <w:tcW w:w="514" w:type="dxa"/>
            <w:tcBorders>
              <w:top w:val="nil"/>
              <w:left w:val="nil"/>
              <w:bottom w:val="nil"/>
              <w:right w:val="nil"/>
            </w:tcBorders>
            <w:shd w:val="clear" w:color="auto" w:fill="auto"/>
            <w:noWrap/>
            <w:vAlign w:val="center"/>
            <w:hideMark/>
          </w:tcPr>
          <w:p w14:paraId="17DD658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0.12</w:t>
            </w:r>
          </w:p>
        </w:tc>
        <w:tc>
          <w:tcPr>
            <w:tcW w:w="514" w:type="dxa"/>
            <w:tcBorders>
              <w:top w:val="nil"/>
              <w:left w:val="nil"/>
              <w:bottom w:val="nil"/>
              <w:right w:val="nil"/>
            </w:tcBorders>
            <w:shd w:val="clear" w:color="auto" w:fill="auto"/>
            <w:noWrap/>
            <w:vAlign w:val="center"/>
            <w:hideMark/>
          </w:tcPr>
          <w:p w14:paraId="238C6A0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1.13</w:t>
            </w:r>
          </w:p>
        </w:tc>
        <w:tc>
          <w:tcPr>
            <w:tcW w:w="907" w:type="dxa"/>
            <w:tcBorders>
              <w:top w:val="nil"/>
              <w:left w:val="nil"/>
              <w:bottom w:val="nil"/>
              <w:right w:val="nil"/>
            </w:tcBorders>
            <w:shd w:val="clear" w:color="auto" w:fill="auto"/>
            <w:noWrap/>
            <w:vAlign w:val="center"/>
            <w:hideMark/>
          </w:tcPr>
          <w:p w14:paraId="5CCC1F5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1.11-1.15</w:t>
            </w:r>
          </w:p>
        </w:tc>
        <w:tc>
          <w:tcPr>
            <w:tcW w:w="415" w:type="dxa"/>
            <w:tcBorders>
              <w:top w:val="nil"/>
              <w:left w:val="nil"/>
              <w:bottom w:val="nil"/>
              <w:right w:val="nil"/>
            </w:tcBorders>
            <w:shd w:val="clear" w:color="auto" w:fill="auto"/>
            <w:noWrap/>
            <w:vAlign w:val="center"/>
            <w:hideMark/>
          </w:tcPr>
          <w:p w14:paraId="1DDAA75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6853906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59%</w:t>
            </w:r>
          </w:p>
        </w:tc>
        <w:tc>
          <w:tcPr>
            <w:tcW w:w="671" w:type="dxa"/>
            <w:tcBorders>
              <w:top w:val="nil"/>
              <w:left w:val="nil"/>
              <w:bottom w:val="nil"/>
              <w:right w:val="nil"/>
            </w:tcBorders>
            <w:shd w:val="clear" w:color="auto" w:fill="auto"/>
            <w:noWrap/>
            <w:vAlign w:val="center"/>
            <w:hideMark/>
          </w:tcPr>
          <w:p w14:paraId="68D85FD1"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38.3%</w:t>
            </w:r>
          </w:p>
        </w:tc>
        <w:tc>
          <w:tcPr>
            <w:tcW w:w="514" w:type="dxa"/>
            <w:tcBorders>
              <w:top w:val="nil"/>
              <w:left w:val="nil"/>
              <w:bottom w:val="nil"/>
              <w:right w:val="nil"/>
            </w:tcBorders>
            <w:shd w:val="clear" w:color="auto" w:fill="auto"/>
            <w:noWrap/>
            <w:vAlign w:val="center"/>
            <w:hideMark/>
          </w:tcPr>
          <w:p w14:paraId="4FE0B3E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-0.02</w:t>
            </w:r>
          </w:p>
        </w:tc>
        <w:tc>
          <w:tcPr>
            <w:tcW w:w="617" w:type="dxa"/>
            <w:tcBorders>
              <w:top w:val="nil"/>
              <w:left w:val="nil"/>
              <w:bottom w:val="nil"/>
              <w:right w:val="nil"/>
            </w:tcBorders>
            <w:shd w:val="clear" w:color="auto" w:fill="auto"/>
            <w:noWrap/>
            <w:vAlign w:val="center"/>
            <w:hideMark/>
          </w:tcPr>
          <w:p w14:paraId="7A63BDF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0.98</w:t>
            </w:r>
          </w:p>
        </w:tc>
        <w:tc>
          <w:tcPr>
            <w:tcW w:w="907" w:type="dxa"/>
            <w:tcBorders>
              <w:top w:val="nil"/>
              <w:left w:val="nil"/>
              <w:bottom w:val="nil"/>
              <w:right w:val="nil"/>
            </w:tcBorders>
            <w:shd w:val="clear" w:color="auto" w:fill="auto"/>
            <w:noWrap/>
            <w:vAlign w:val="center"/>
            <w:hideMark/>
          </w:tcPr>
          <w:p w14:paraId="5F7B033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0.96-0.99</w:t>
            </w:r>
          </w:p>
        </w:tc>
        <w:tc>
          <w:tcPr>
            <w:tcW w:w="415" w:type="dxa"/>
            <w:tcBorders>
              <w:top w:val="nil"/>
              <w:left w:val="nil"/>
              <w:bottom w:val="nil"/>
              <w:right w:val="nil"/>
            </w:tcBorders>
            <w:shd w:val="clear" w:color="auto" w:fill="auto"/>
            <w:noWrap/>
            <w:vAlign w:val="center"/>
            <w:hideMark/>
          </w:tcPr>
          <w:p w14:paraId="0D37639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20F3A4E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59%</w:t>
            </w:r>
          </w:p>
        </w:tc>
        <w:tc>
          <w:tcPr>
            <w:tcW w:w="671" w:type="dxa"/>
            <w:tcBorders>
              <w:top w:val="nil"/>
              <w:left w:val="nil"/>
              <w:bottom w:val="nil"/>
              <w:right w:val="nil"/>
            </w:tcBorders>
            <w:shd w:val="clear" w:color="auto" w:fill="auto"/>
            <w:noWrap/>
            <w:vAlign w:val="center"/>
            <w:hideMark/>
          </w:tcPr>
          <w:p w14:paraId="3E0A8CC9"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3.6%</w:t>
            </w:r>
          </w:p>
        </w:tc>
        <w:tc>
          <w:tcPr>
            <w:tcW w:w="514" w:type="dxa"/>
            <w:tcBorders>
              <w:top w:val="nil"/>
              <w:left w:val="nil"/>
              <w:bottom w:val="nil"/>
              <w:right w:val="nil"/>
            </w:tcBorders>
            <w:shd w:val="clear" w:color="auto" w:fill="auto"/>
            <w:noWrap/>
            <w:vAlign w:val="center"/>
            <w:hideMark/>
          </w:tcPr>
          <w:p w14:paraId="35C7C47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-0.71</w:t>
            </w:r>
          </w:p>
        </w:tc>
        <w:tc>
          <w:tcPr>
            <w:tcW w:w="680" w:type="dxa"/>
            <w:tcBorders>
              <w:top w:val="nil"/>
              <w:left w:val="nil"/>
              <w:bottom w:val="nil"/>
              <w:right w:val="nil"/>
            </w:tcBorders>
            <w:shd w:val="clear" w:color="auto" w:fill="auto"/>
            <w:noWrap/>
            <w:vAlign w:val="center"/>
            <w:hideMark/>
          </w:tcPr>
          <w:p w14:paraId="4BC849E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0.49</w:t>
            </w:r>
          </w:p>
        </w:tc>
        <w:tc>
          <w:tcPr>
            <w:tcW w:w="907" w:type="dxa"/>
            <w:gridSpan w:val="2"/>
            <w:tcBorders>
              <w:top w:val="nil"/>
              <w:left w:val="nil"/>
              <w:bottom w:val="nil"/>
              <w:right w:val="nil"/>
            </w:tcBorders>
            <w:shd w:val="clear" w:color="auto" w:fill="auto"/>
            <w:noWrap/>
            <w:vAlign w:val="center"/>
            <w:hideMark/>
          </w:tcPr>
          <w:p w14:paraId="5DC8838D"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0.47-0.52</w:t>
            </w:r>
          </w:p>
        </w:tc>
        <w:tc>
          <w:tcPr>
            <w:tcW w:w="415" w:type="dxa"/>
            <w:gridSpan w:val="2"/>
            <w:tcBorders>
              <w:top w:val="nil"/>
              <w:left w:val="nil"/>
              <w:bottom w:val="nil"/>
              <w:right w:val="nil"/>
            </w:tcBorders>
            <w:shd w:val="clear" w:color="auto" w:fill="auto"/>
            <w:noWrap/>
            <w:vAlign w:val="center"/>
            <w:hideMark/>
          </w:tcPr>
          <w:p w14:paraId="706BA77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r>
      <w:tr w:rsidR="008D4557" w:rsidRPr="008D4557" w14:paraId="0023D793"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tcPr>
          <w:p w14:paraId="01BA582C" w14:textId="77777777" w:rsidR="00416D9D" w:rsidRPr="008D4557" w:rsidRDefault="00416D9D" w:rsidP="00416D9D">
            <w:pPr>
              <w:spacing w:after="0" w:line="240" w:lineRule="auto"/>
              <w:jc w:val="right"/>
              <w:rPr>
                <w:rFonts w:ascii="Arial" w:eastAsia="Times New Roman" w:hAnsi="Arial" w:cs="Arial"/>
                <w:bCs/>
                <w:i/>
                <w:iCs/>
                <w:color w:val="000000"/>
                <w:sz w:val="20"/>
                <w:szCs w:val="20"/>
                <w:u w:val="single"/>
                <w:lang w:val="es-ES" w:eastAsia="es-ES"/>
              </w:rPr>
            </w:pPr>
          </w:p>
        </w:tc>
        <w:tc>
          <w:tcPr>
            <w:tcW w:w="180" w:type="dxa"/>
            <w:tcBorders>
              <w:top w:val="nil"/>
              <w:left w:val="nil"/>
              <w:bottom w:val="nil"/>
              <w:right w:val="nil"/>
            </w:tcBorders>
            <w:shd w:val="clear" w:color="auto" w:fill="auto"/>
            <w:noWrap/>
            <w:vAlign w:val="center"/>
          </w:tcPr>
          <w:p w14:paraId="64D52FFA"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tcPr>
          <w:p w14:paraId="619E792A"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679" w:type="dxa"/>
            <w:tcBorders>
              <w:top w:val="nil"/>
              <w:left w:val="nil"/>
              <w:bottom w:val="nil"/>
              <w:right w:val="nil"/>
            </w:tcBorders>
            <w:shd w:val="clear" w:color="auto" w:fill="auto"/>
            <w:noWrap/>
            <w:vAlign w:val="center"/>
          </w:tcPr>
          <w:p w14:paraId="179B2DF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1" w:type="dxa"/>
            <w:tcBorders>
              <w:top w:val="nil"/>
              <w:left w:val="nil"/>
              <w:bottom w:val="nil"/>
              <w:right w:val="nil"/>
            </w:tcBorders>
            <w:shd w:val="clear" w:color="auto" w:fill="auto"/>
            <w:noWrap/>
            <w:vAlign w:val="center"/>
          </w:tcPr>
          <w:p w14:paraId="373EC07C"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7D6B1C8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11324BD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tcPr>
          <w:p w14:paraId="51939CF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tcPr>
          <w:p w14:paraId="26F99C3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tcPr>
          <w:p w14:paraId="50EB378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1" w:type="dxa"/>
            <w:tcBorders>
              <w:top w:val="nil"/>
              <w:left w:val="nil"/>
              <w:bottom w:val="nil"/>
              <w:right w:val="nil"/>
            </w:tcBorders>
            <w:shd w:val="clear" w:color="auto" w:fill="auto"/>
            <w:noWrap/>
            <w:vAlign w:val="center"/>
          </w:tcPr>
          <w:p w14:paraId="6ABD594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7D16FDF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tcPr>
          <w:p w14:paraId="7618D7C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tcPr>
          <w:p w14:paraId="321A9CE0"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tcPr>
          <w:p w14:paraId="4200FE0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tcPr>
          <w:p w14:paraId="3B1E961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1" w:type="dxa"/>
            <w:tcBorders>
              <w:top w:val="nil"/>
              <w:left w:val="nil"/>
              <w:bottom w:val="nil"/>
              <w:right w:val="nil"/>
            </w:tcBorders>
            <w:shd w:val="clear" w:color="auto" w:fill="auto"/>
            <w:noWrap/>
            <w:vAlign w:val="center"/>
          </w:tcPr>
          <w:p w14:paraId="1F7166CC"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5C81638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tcPr>
          <w:p w14:paraId="6AD4B79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tcPr>
          <w:p w14:paraId="7D95065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tcPr>
          <w:p w14:paraId="5921C8D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353AE97F"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7A11DD98" w14:textId="77777777" w:rsidR="00416D9D" w:rsidRPr="008D4557" w:rsidRDefault="00416D9D" w:rsidP="00416D9D">
            <w:pPr>
              <w:spacing w:after="0" w:line="240" w:lineRule="auto"/>
              <w:jc w:val="right"/>
              <w:rPr>
                <w:rFonts w:ascii="Arial" w:eastAsia="Times New Roman" w:hAnsi="Arial" w:cs="Arial"/>
                <w:bCs/>
                <w:i/>
                <w:iCs/>
                <w:color w:val="000000"/>
                <w:sz w:val="20"/>
                <w:szCs w:val="20"/>
                <w:u w:val="single"/>
                <w:lang w:val="es-ES" w:eastAsia="es-ES"/>
              </w:rPr>
            </w:pPr>
            <w:proofErr w:type="spellStart"/>
            <w:r w:rsidRPr="008D4557">
              <w:rPr>
                <w:rFonts w:ascii="Arial" w:eastAsia="Times New Roman" w:hAnsi="Arial" w:cs="Arial"/>
                <w:bCs/>
                <w:i/>
                <w:iCs/>
                <w:color w:val="000000"/>
                <w:sz w:val="20"/>
                <w:szCs w:val="20"/>
                <w:u w:val="single"/>
                <w:lang w:val="es-ES" w:eastAsia="es-ES"/>
              </w:rPr>
              <w:t>Cohort</w:t>
            </w:r>
            <w:proofErr w:type="spellEnd"/>
            <w:r w:rsidRPr="008D4557">
              <w:rPr>
                <w:rFonts w:ascii="Arial" w:eastAsia="Times New Roman" w:hAnsi="Arial" w:cs="Arial"/>
                <w:bCs/>
                <w:i/>
                <w:iCs/>
                <w:color w:val="000000"/>
                <w:sz w:val="20"/>
                <w:szCs w:val="20"/>
                <w:u w:val="single"/>
                <w:lang w:val="es-ES" w:eastAsia="es-ES"/>
              </w:rPr>
              <w:t xml:space="preserve"> </w:t>
            </w:r>
            <w:proofErr w:type="spellStart"/>
            <w:r w:rsidRPr="008D4557">
              <w:rPr>
                <w:rFonts w:ascii="Arial" w:eastAsia="Times New Roman" w:hAnsi="Arial" w:cs="Arial"/>
                <w:bCs/>
                <w:i/>
                <w:iCs/>
                <w:color w:val="000000"/>
                <w:sz w:val="20"/>
                <w:szCs w:val="20"/>
                <w:u w:val="single"/>
                <w:lang w:val="es-ES" w:eastAsia="es-ES"/>
              </w:rPr>
              <w:t>born</w:t>
            </w:r>
            <w:proofErr w:type="spellEnd"/>
          </w:p>
        </w:tc>
        <w:tc>
          <w:tcPr>
            <w:tcW w:w="180" w:type="dxa"/>
            <w:tcBorders>
              <w:top w:val="nil"/>
              <w:left w:val="nil"/>
              <w:bottom w:val="nil"/>
              <w:right w:val="nil"/>
            </w:tcBorders>
            <w:shd w:val="clear" w:color="auto" w:fill="auto"/>
            <w:noWrap/>
            <w:vAlign w:val="center"/>
            <w:hideMark/>
          </w:tcPr>
          <w:p w14:paraId="1A6EFD18"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2EF040BC"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r w:rsidRPr="008D4557">
              <w:rPr>
                <w:rFonts w:ascii="Arial" w:eastAsia="Times New Roman" w:hAnsi="Arial" w:cs="Arial"/>
                <w:bCs/>
                <w:i/>
                <w:iCs/>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51F03CE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1" w:type="dxa"/>
            <w:tcBorders>
              <w:top w:val="nil"/>
              <w:left w:val="nil"/>
              <w:bottom w:val="nil"/>
              <w:right w:val="nil"/>
            </w:tcBorders>
            <w:shd w:val="clear" w:color="auto" w:fill="auto"/>
            <w:noWrap/>
            <w:vAlign w:val="center"/>
            <w:hideMark/>
          </w:tcPr>
          <w:p w14:paraId="085DEE4C"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168B94C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03D8695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204E2BE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71F671E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167CFEA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5442A5E2"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1BE2BF0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64C7F11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657824D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4D2A3C1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6851604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14E87185"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3457C55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263AAC7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33F82A5A"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527D8A9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4F537F7F"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301C85C7" w14:textId="77777777" w:rsidR="00416D9D" w:rsidRPr="008D4557" w:rsidRDefault="00416D9D" w:rsidP="00416D9D">
            <w:pPr>
              <w:spacing w:after="0" w:line="240" w:lineRule="auto"/>
              <w:jc w:val="right"/>
              <w:rPr>
                <w:rFonts w:ascii="Arial" w:eastAsia="Times New Roman" w:hAnsi="Arial" w:cs="Arial"/>
                <w:i/>
                <w:iCs/>
                <w:color w:val="000000"/>
                <w:sz w:val="20"/>
                <w:szCs w:val="20"/>
                <w:lang w:val="es-ES" w:eastAsia="es-ES"/>
              </w:rPr>
            </w:pPr>
            <w:r w:rsidRPr="008D4557">
              <w:rPr>
                <w:rFonts w:ascii="Arial" w:eastAsia="Times New Roman" w:hAnsi="Arial" w:cs="Arial"/>
                <w:i/>
                <w:iCs/>
                <w:color w:val="000000"/>
                <w:sz w:val="20"/>
                <w:szCs w:val="20"/>
                <w:lang w:val="es-ES" w:eastAsia="es-ES"/>
              </w:rPr>
              <w:t>*</w:t>
            </w:r>
            <w:proofErr w:type="spellStart"/>
            <w:r w:rsidRPr="008D4557">
              <w:rPr>
                <w:rFonts w:ascii="Arial" w:eastAsia="Times New Roman" w:hAnsi="Arial" w:cs="Arial"/>
                <w:i/>
                <w:iCs/>
                <w:color w:val="000000"/>
                <w:sz w:val="20"/>
                <w:szCs w:val="20"/>
                <w:lang w:val="es-ES" w:eastAsia="es-ES"/>
              </w:rPr>
              <w:t>Cohort</w:t>
            </w:r>
            <w:proofErr w:type="spellEnd"/>
            <w:r w:rsidRPr="008D4557">
              <w:rPr>
                <w:rFonts w:ascii="Arial" w:eastAsia="Times New Roman" w:hAnsi="Arial" w:cs="Arial"/>
                <w:i/>
                <w:iCs/>
                <w:color w:val="000000"/>
                <w:sz w:val="20"/>
                <w:szCs w:val="20"/>
                <w:lang w:val="es-ES" w:eastAsia="es-ES"/>
              </w:rPr>
              <w:t xml:space="preserve"> 1924-33 (</w:t>
            </w:r>
            <w:proofErr w:type="spellStart"/>
            <w:r w:rsidRPr="008D4557">
              <w:rPr>
                <w:rFonts w:ascii="Arial" w:eastAsia="Times New Roman" w:hAnsi="Arial" w:cs="Arial"/>
                <w:i/>
                <w:iCs/>
                <w:color w:val="000000"/>
                <w:sz w:val="20"/>
                <w:szCs w:val="20"/>
                <w:lang w:val="es-ES" w:eastAsia="es-ES"/>
              </w:rPr>
              <w:t>ref</w:t>
            </w:r>
            <w:proofErr w:type="spellEnd"/>
            <w:r w:rsidRPr="008D4557">
              <w:rPr>
                <w:rFonts w:ascii="Arial" w:eastAsia="Times New Roman" w:hAnsi="Arial" w:cs="Arial"/>
                <w:i/>
                <w:iCs/>
                <w:color w:val="000000"/>
                <w:sz w:val="20"/>
                <w:szCs w:val="20"/>
                <w:lang w:val="es-ES" w:eastAsia="es-ES"/>
              </w:rPr>
              <w:t>)</w:t>
            </w:r>
          </w:p>
        </w:tc>
        <w:tc>
          <w:tcPr>
            <w:tcW w:w="180" w:type="dxa"/>
            <w:tcBorders>
              <w:top w:val="nil"/>
              <w:left w:val="nil"/>
              <w:bottom w:val="nil"/>
              <w:right w:val="nil"/>
            </w:tcBorders>
            <w:shd w:val="clear" w:color="auto" w:fill="auto"/>
            <w:noWrap/>
            <w:vAlign w:val="center"/>
            <w:hideMark/>
          </w:tcPr>
          <w:p w14:paraId="5144F890"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5E007AE9"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53782B3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15%</w:t>
            </w:r>
          </w:p>
        </w:tc>
        <w:tc>
          <w:tcPr>
            <w:tcW w:w="671" w:type="dxa"/>
            <w:tcBorders>
              <w:top w:val="nil"/>
              <w:left w:val="nil"/>
              <w:bottom w:val="nil"/>
              <w:right w:val="nil"/>
            </w:tcBorders>
            <w:shd w:val="clear" w:color="auto" w:fill="auto"/>
            <w:noWrap/>
            <w:vAlign w:val="center"/>
            <w:hideMark/>
          </w:tcPr>
          <w:p w14:paraId="441FA0E5"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60%</w:t>
            </w:r>
          </w:p>
        </w:tc>
        <w:tc>
          <w:tcPr>
            <w:tcW w:w="514" w:type="dxa"/>
            <w:tcBorders>
              <w:top w:val="nil"/>
              <w:left w:val="nil"/>
              <w:bottom w:val="nil"/>
              <w:right w:val="nil"/>
            </w:tcBorders>
            <w:shd w:val="clear" w:color="auto" w:fill="auto"/>
            <w:noWrap/>
            <w:vAlign w:val="center"/>
            <w:hideMark/>
          </w:tcPr>
          <w:p w14:paraId="0C6C53F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32DD543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6FF3972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6EFA3AE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10B1E53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30%</w:t>
            </w:r>
          </w:p>
        </w:tc>
        <w:tc>
          <w:tcPr>
            <w:tcW w:w="671" w:type="dxa"/>
            <w:tcBorders>
              <w:top w:val="nil"/>
              <w:left w:val="nil"/>
              <w:bottom w:val="nil"/>
              <w:right w:val="nil"/>
            </w:tcBorders>
            <w:shd w:val="clear" w:color="auto" w:fill="auto"/>
            <w:noWrap/>
            <w:vAlign w:val="center"/>
            <w:hideMark/>
          </w:tcPr>
          <w:p w14:paraId="13B3453A"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27.0%</w:t>
            </w:r>
          </w:p>
        </w:tc>
        <w:tc>
          <w:tcPr>
            <w:tcW w:w="514" w:type="dxa"/>
            <w:tcBorders>
              <w:top w:val="nil"/>
              <w:left w:val="nil"/>
              <w:bottom w:val="nil"/>
              <w:right w:val="nil"/>
            </w:tcBorders>
            <w:shd w:val="clear" w:color="auto" w:fill="auto"/>
            <w:noWrap/>
            <w:vAlign w:val="center"/>
            <w:hideMark/>
          </w:tcPr>
          <w:p w14:paraId="5F73782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6BD5E90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0858ADF9"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4D16DE6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01600BE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30%</w:t>
            </w:r>
          </w:p>
        </w:tc>
        <w:tc>
          <w:tcPr>
            <w:tcW w:w="671" w:type="dxa"/>
            <w:tcBorders>
              <w:top w:val="nil"/>
              <w:left w:val="nil"/>
              <w:bottom w:val="nil"/>
              <w:right w:val="nil"/>
            </w:tcBorders>
            <w:shd w:val="clear" w:color="auto" w:fill="auto"/>
            <w:noWrap/>
            <w:vAlign w:val="center"/>
            <w:hideMark/>
          </w:tcPr>
          <w:p w14:paraId="5CB5BD5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9.8%</w:t>
            </w:r>
          </w:p>
        </w:tc>
        <w:tc>
          <w:tcPr>
            <w:tcW w:w="514" w:type="dxa"/>
            <w:tcBorders>
              <w:top w:val="nil"/>
              <w:left w:val="nil"/>
              <w:bottom w:val="nil"/>
              <w:right w:val="nil"/>
            </w:tcBorders>
            <w:shd w:val="clear" w:color="auto" w:fill="auto"/>
            <w:noWrap/>
            <w:vAlign w:val="center"/>
            <w:hideMark/>
          </w:tcPr>
          <w:p w14:paraId="432D885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44D3B5A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08ED089D"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087017F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17393F24"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514F0A25"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roofErr w:type="spellStart"/>
            <w:r w:rsidRPr="008D4557">
              <w:rPr>
                <w:rFonts w:ascii="Arial" w:eastAsia="Times New Roman" w:hAnsi="Arial" w:cs="Arial"/>
                <w:color w:val="000000"/>
                <w:sz w:val="20"/>
                <w:szCs w:val="20"/>
                <w:lang w:val="es-ES" w:eastAsia="es-ES"/>
              </w:rPr>
              <w:t>Cohort</w:t>
            </w:r>
            <w:proofErr w:type="spellEnd"/>
            <w:r w:rsidRPr="008D4557">
              <w:rPr>
                <w:rFonts w:ascii="Arial" w:eastAsia="Times New Roman" w:hAnsi="Arial" w:cs="Arial"/>
                <w:color w:val="000000"/>
                <w:sz w:val="20"/>
                <w:szCs w:val="20"/>
                <w:lang w:val="es-ES" w:eastAsia="es-ES"/>
              </w:rPr>
              <w:t xml:space="preserve"> 1934-43</w:t>
            </w:r>
          </w:p>
        </w:tc>
        <w:tc>
          <w:tcPr>
            <w:tcW w:w="180" w:type="dxa"/>
            <w:tcBorders>
              <w:top w:val="nil"/>
              <w:left w:val="nil"/>
              <w:bottom w:val="nil"/>
              <w:right w:val="nil"/>
            </w:tcBorders>
            <w:shd w:val="clear" w:color="auto" w:fill="auto"/>
            <w:noWrap/>
            <w:vAlign w:val="center"/>
            <w:hideMark/>
          </w:tcPr>
          <w:p w14:paraId="60451391"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550C919E"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5E3B427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26%</w:t>
            </w:r>
          </w:p>
        </w:tc>
        <w:tc>
          <w:tcPr>
            <w:tcW w:w="671" w:type="dxa"/>
            <w:tcBorders>
              <w:top w:val="nil"/>
              <w:left w:val="nil"/>
              <w:bottom w:val="nil"/>
              <w:right w:val="nil"/>
            </w:tcBorders>
            <w:shd w:val="clear" w:color="auto" w:fill="auto"/>
            <w:noWrap/>
            <w:vAlign w:val="center"/>
            <w:hideMark/>
          </w:tcPr>
          <w:p w14:paraId="2272014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46%</w:t>
            </w:r>
          </w:p>
        </w:tc>
        <w:tc>
          <w:tcPr>
            <w:tcW w:w="514" w:type="dxa"/>
            <w:tcBorders>
              <w:top w:val="nil"/>
              <w:left w:val="nil"/>
              <w:bottom w:val="nil"/>
              <w:right w:val="nil"/>
            </w:tcBorders>
            <w:shd w:val="clear" w:color="auto" w:fill="auto"/>
            <w:noWrap/>
            <w:vAlign w:val="center"/>
            <w:hideMark/>
          </w:tcPr>
          <w:p w14:paraId="0AA730F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0.29</w:t>
            </w:r>
          </w:p>
        </w:tc>
        <w:tc>
          <w:tcPr>
            <w:tcW w:w="514" w:type="dxa"/>
            <w:tcBorders>
              <w:top w:val="nil"/>
              <w:left w:val="nil"/>
              <w:bottom w:val="nil"/>
              <w:right w:val="nil"/>
            </w:tcBorders>
            <w:shd w:val="clear" w:color="auto" w:fill="auto"/>
            <w:noWrap/>
            <w:vAlign w:val="center"/>
            <w:hideMark/>
          </w:tcPr>
          <w:p w14:paraId="4B0F6F5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1.34</w:t>
            </w:r>
          </w:p>
        </w:tc>
        <w:tc>
          <w:tcPr>
            <w:tcW w:w="907" w:type="dxa"/>
            <w:tcBorders>
              <w:top w:val="nil"/>
              <w:left w:val="nil"/>
              <w:bottom w:val="nil"/>
              <w:right w:val="nil"/>
            </w:tcBorders>
            <w:shd w:val="clear" w:color="auto" w:fill="auto"/>
            <w:noWrap/>
            <w:vAlign w:val="center"/>
            <w:hideMark/>
          </w:tcPr>
          <w:p w14:paraId="2A2E579C"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1.29-1.39</w:t>
            </w:r>
          </w:p>
        </w:tc>
        <w:tc>
          <w:tcPr>
            <w:tcW w:w="415" w:type="dxa"/>
            <w:tcBorders>
              <w:top w:val="nil"/>
              <w:left w:val="nil"/>
              <w:bottom w:val="nil"/>
              <w:right w:val="nil"/>
            </w:tcBorders>
            <w:shd w:val="clear" w:color="auto" w:fill="auto"/>
            <w:noWrap/>
            <w:vAlign w:val="center"/>
            <w:hideMark/>
          </w:tcPr>
          <w:p w14:paraId="4EE3C5B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13244F8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30%</w:t>
            </w:r>
          </w:p>
        </w:tc>
        <w:tc>
          <w:tcPr>
            <w:tcW w:w="671" w:type="dxa"/>
            <w:tcBorders>
              <w:top w:val="nil"/>
              <w:left w:val="nil"/>
              <w:bottom w:val="nil"/>
              <w:right w:val="nil"/>
            </w:tcBorders>
            <w:shd w:val="clear" w:color="auto" w:fill="auto"/>
            <w:noWrap/>
            <w:vAlign w:val="center"/>
            <w:hideMark/>
          </w:tcPr>
          <w:p w14:paraId="730CA0CC"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40.1%</w:t>
            </w:r>
          </w:p>
        </w:tc>
        <w:tc>
          <w:tcPr>
            <w:tcW w:w="514" w:type="dxa"/>
            <w:tcBorders>
              <w:top w:val="nil"/>
              <w:left w:val="nil"/>
              <w:bottom w:val="nil"/>
              <w:right w:val="nil"/>
            </w:tcBorders>
            <w:shd w:val="clear" w:color="auto" w:fill="auto"/>
            <w:noWrap/>
            <w:vAlign w:val="center"/>
            <w:hideMark/>
          </w:tcPr>
          <w:p w14:paraId="4681A46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0.32</w:t>
            </w:r>
          </w:p>
        </w:tc>
        <w:tc>
          <w:tcPr>
            <w:tcW w:w="617" w:type="dxa"/>
            <w:tcBorders>
              <w:top w:val="nil"/>
              <w:left w:val="nil"/>
              <w:bottom w:val="nil"/>
              <w:right w:val="nil"/>
            </w:tcBorders>
            <w:shd w:val="clear" w:color="auto" w:fill="auto"/>
            <w:noWrap/>
            <w:vAlign w:val="center"/>
            <w:hideMark/>
          </w:tcPr>
          <w:p w14:paraId="768BD0D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1.38</w:t>
            </w:r>
          </w:p>
        </w:tc>
        <w:tc>
          <w:tcPr>
            <w:tcW w:w="907" w:type="dxa"/>
            <w:tcBorders>
              <w:top w:val="nil"/>
              <w:left w:val="nil"/>
              <w:bottom w:val="nil"/>
              <w:right w:val="nil"/>
            </w:tcBorders>
            <w:shd w:val="clear" w:color="auto" w:fill="auto"/>
            <w:noWrap/>
            <w:vAlign w:val="center"/>
            <w:hideMark/>
          </w:tcPr>
          <w:p w14:paraId="6CD88DE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1.32-1.44</w:t>
            </w:r>
          </w:p>
        </w:tc>
        <w:tc>
          <w:tcPr>
            <w:tcW w:w="415" w:type="dxa"/>
            <w:tcBorders>
              <w:top w:val="nil"/>
              <w:left w:val="nil"/>
              <w:bottom w:val="nil"/>
              <w:right w:val="nil"/>
            </w:tcBorders>
            <w:shd w:val="clear" w:color="auto" w:fill="auto"/>
            <w:noWrap/>
            <w:vAlign w:val="center"/>
            <w:hideMark/>
          </w:tcPr>
          <w:p w14:paraId="4AC85B5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0364E7A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30%</w:t>
            </w:r>
          </w:p>
        </w:tc>
        <w:tc>
          <w:tcPr>
            <w:tcW w:w="671" w:type="dxa"/>
            <w:tcBorders>
              <w:top w:val="nil"/>
              <w:left w:val="nil"/>
              <w:bottom w:val="nil"/>
              <w:right w:val="nil"/>
            </w:tcBorders>
            <w:shd w:val="clear" w:color="auto" w:fill="auto"/>
            <w:noWrap/>
            <w:vAlign w:val="center"/>
            <w:hideMark/>
          </w:tcPr>
          <w:p w14:paraId="5117E3B5"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3.8%</w:t>
            </w:r>
          </w:p>
        </w:tc>
        <w:tc>
          <w:tcPr>
            <w:tcW w:w="514" w:type="dxa"/>
            <w:tcBorders>
              <w:top w:val="nil"/>
              <w:left w:val="nil"/>
              <w:bottom w:val="nil"/>
              <w:right w:val="nil"/>
            </w:tcBorders>
            <w:shd w:val="clear" w:color="auto" w:fill="auto"/>
            <w:noWrap/>
            <w:vAlign w:val="center"/>
            <w:hideMark/>
          </w:tcPr>
          <w:p w14:paraId="1C87822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0.25</w:t>
            </w:r>
          </w:p>
        </w:tc>
        <w:tc>
          <w:tcPr>
            <w:tcW w:w="680" w:type="dxa"/>
            <w:tcBorders>
              <w:top w:val="nil"/>
              <w:left w:val="nil"/>
              <w:bottom w:val="nil"/>
              <w:right w:val="nil"/>
            </w:tcBorders>
            <w:shd w:val="clear" w:color="auto" w:fill="auto"/>
            <w:noWrap/>
            <w:vAlign w:val="center"/>
            <w:hideMark/>
          </w:tcPr>
          <w:p w14:paraId="1597EAA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1.28</w:t>
            </w:r>
          </w:p>
        </w:tc>
        <w:tc>
          <w:tcPr>
            <w:tcW w:w="907" w:type="dxa"/>
            <w:gridSpan w:val="2"/>
            <w:tcBorders>
              <w:top w:val="nil"/>
              <w:left w:val="nil"/>
              <w:bottom w:val="nil"/>
              <w:right w:val="nil"/>
            </w:tcBorders>
            <w:shd w:val="clear" w:color="auto" w:fill="auto"/>
            <w:noWrap/>
            <w:vAlign w:val="center"/>
            <w:hideMark/>
          </w:tcPr>
          <w:p w14:paraId="0010F6A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1.15-1.43</w:t>
            </w:r>
          </w:p>
        </w:tc>
        <w:tc>
          <w:tcPr>
            <w:tcW w:w="415" w:type="dxa"/>
            <w:gridSpan w:val="2"/>
            <w:tcBorders>
              <w:top w:val="nil"/>
              <w:left w:val="nil"/>
              <w:bottom w:val="nil"/>
              <w:right w:val="nil"/>
            </w:tcBorders>
            <w:shd w:val="clear" w:color="auto" w:fill="auto"/>
            <w:noWrap/>
            <w:vAlign w:val="center"/>
            <w:hideMark/>
          </w:tcPr>
          <w:p w14:paraId="25D27E0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r>
      <w:tr w:rsidR="008D4557" w:rsidRPr="008D4557" w14:paraId="2A260EC5"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0A380779"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roofErr w:type="spellStart"/>
            <w:r w:rsidRPr="008D4557">
              <w:rPr>
                <w:rFonts w:ascii="Arial" w:eastAsia="Times New Roman" w:hAnsi="Arial" w:cs="Arial"/>
                <w:color w:val="000000"/>
                <w:sz w:val="20"/>
                <w:szCs w:val="20"/>
                <w:lang w:val="es-ES" w:eastAsia="es-ES"/>
              </w:rPr>
              <w:t>Cohort</w:t>
            </w:r>
            <w:proofErr w:type="spellEnd"/>
            <w:r w:rsidRPr="008D4557">
              <w:rPr>
                <w:rFonts w:ascii="Arial" w:eastAsia="Times New Roman" w:hAnsi="Arial" w:cs="Arial"/>
                <w:color w:val="000000"/>
                <w:sz w:val="20"/>
                <w:szCs w:val="20"/>
                <w:lang w:val="es-ES" w:eastAsia="es-ES"/>
              </w:rPr>
              <w:t xml:space="preserve"> 1944-53</w:t>
            </w:r>
          </w:p>
        </w:tc>
        <w:tc>
          <w:tcPr>
            <w:tcW w:w="180" w:type="dxa"/>
            <w:tcBorders>
              <w:top w:val="nil"/>
              <w:left w:val="nil"/>
              <w:bottom w:val="nil"/>
              <w:right w:val="nil"/>
            </w:tcBorders>
            <w:shd w:val="clear" w:color="auto" w:fill="auto"/>
            <w:noWrap/>
            <w:vAlign w:val="center"/>
            <w:hideMark/>
          </w:tcPr>
          <w:p w14:paraId="228353B2"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232EA9F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503BE59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39%</w:t>
            </w:r>
          </w:p>
        </w:tc>
        <w:tc>
          <w:tcPr>
            <w:tcW w:w="671" w:type="dxa"/>
            <w:tcBorders>
              <w:top w:val="nil"/>
              <w:left w:val="nil"/>
              <w:bottom w:val="nil"/>
              <w:right w:val="nil"/>
            </w:tcBorders>
            <w:shd w:val="clear" w:color="auto" w:fill="auto"/>
            <w:noWrap/>
            <w:vAlign w:val="center"/>
            <w:hideMark/>
          </w:tcPr>
          <w:p w14:paraId="24E4934D"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33%</w:t>
            </w:r>
          </w:p>
        </w:tc>
        <w:tc>
          <w:tcPr>
            <w:tcW w:w="514" w:type="dxa"/>
            <w:tcBorders>
              <w:top w:val="nil"/>
              <w:left w:val="nil"/>
              <w:bottom w:val="nil"/>
              <w:right w:val="nil"/>
            </w:tcBorders>
            <w:shd w:val="clear" w:color="auto" w:fill="auto"/>
            <w:noWrap/>
            <w:vAlign w:val="center"/>
            <w:hideMark/>
          </w:tcPr>
          <w:p w14:paraId="6FF3AD9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0.55</w:t>
            </w:r>
          </w:p>
        </w:tc>
        <w:tc>
          <w:tcPr>
            <w:tcW w:w="514" w:type="dxa"/>
            <w:tcBorders>
              <w:top w:val="nil"/>
              <w:left w:val="nil"/>
              <w:bottom w:val="nil"/>
              <w:right w:val="nil"/>
            </w:tcBorders>
            <w:shd w:val="clear" w:color="auto" w:fill="auto"/>
            <w:noWrap/>
            <w:vAlign w:val="center"/>
            <w:hideMark/>
          </w:tcPr>
          <w:p w14:paraId="725751A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1.73</w:t>
            </w:r>
          </w:p>
        </w:tc>
        <w:tc>
          <w:tcPr>
            <w:tcW w:w="907" w:type="dxa"/>
            <w:tcBorders>
              <w:top w:val="nil"/>
              <w:left w:val="nil"/>
              <w:bottom w:val="nil"/>
              <w:right w:val="nil"/>
            </w:tcBorders>
            <w:shd w:val="clear" w:color="auto" w:fill="auto"/>
            <w:noWrap/>
            <w:vAlign w:val="center"/>
            <w:hideMark/>
          </w:tcPr>
          <w:p w14:paraId="1AE508D5"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1.64-1.82</w:t>
            </w:r>
          </w:p>
        </w:tc>
        <w:tc>
          <w:tcPr>
            <w:tcW w:w="415" w:type="dxa"/>
            <w:tcBorders>
              <w:top w:val="nil"/>
              <w:left w:val="nil"/>
              <w:bottom w:val="nil"/>
              <w:right w:val="nil"/>
            </w:tcBorders>
            <w:shd w:val="clear" w:color="auto" w:fill="auto"/>
            <w:noWrap/>
            <w:vAlign w:val="center"/>
            <w:hideMark/>
          </w:tcPr>
          <w:p w14:paraId="5F9082A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45F1587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29%</w:t>
            </w:r>
          </w:p>
        </w:tc>
        <w:tc>
          <w:tcPr>
            <w:tcW w:w="671" w:type="dxa"/>
            <w:tcBorders>
              <w:top w:val="nil"/>
              <w:left w:val="nil"/>
              <w:bottom w:val="nil"/>
              <w:right w:val="nil"/>
            </w:tcBorders>
            <w:shd w:val="clear" w:color="auto" w:fill="auto"/>
            <w:noWrap/>
            <w:vAlign w:val="center"/>
            <w:hideMark/>
          </w:tcPr>
          <w:p w14:paraId="56DBF3F2"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47.3%</w:t>
            </w:r>
          </w:p>
        </w:tc>
        <w:tc>
          <w:tcPr>
            <w:tcW w:w="514" w:type="dxa"/>
            <w:tcBorders>
              <w:top w:val="nil"/>
              <w:left w:val="nil"/>
              <w:bottom w:val="nil"/>
              <w:right w:val="nil"/>
            </w:tcBorders>
            <w:shd w:val="clear" w:color="auto" w:fill="auto"/>
            <w:noWrap/>
            <w:vAlign w:val="center"/>
            <w:hideMark/>
          </w:tcPr>
          <w:p w14:paraId="4F2A6A8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0.56</w:t>
            </w:r>
          </w:p>
        </w:tc>
        <w:tc>
          <w:tcPr>
            <w:tcW w:w="617" w:type="dxa"/>
            <w:tcBorders>
              <w:top w:val="nil"/>
              <w:left w:val="nil"/>
              <w:bottom w:val="nil"/>
              <w:right w:val="nil"/>
            </w:tcBorders>
            <w:shd w:val="clear" w:color="auto" w:fill="auto"/>
            <w:noWrap/>
            <w:vAlign w:val="center"/>
            <w:hideMark/>
          </w:tcPr>
          <w:p w14:paraId="294567D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1.75</w:t>
            </w:r>
          </w:p>
        </w:tc>
        <w:tc>
          <w:tcPr>
            <w:tcW w:w="907" w:type="dxa"/>
            <w:tcBorders>
              <w:top w:val="nil"/>
              <w:left w:val="nil"/>
              <w:bottom w:val="nil"/>
              <w:right w:val="nil"/>
            </w:tcBorders>
            <w:shd w:val="clear" w:color="auto" w:fill="auto"/>
            <w:noWrap/>
            <w:vAlign w:val="center"/>
            <w:hideMark/>
          </w:tcPr>
          <w:p w14:paraId="66ACFEFD"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1.65-1.86</w:t>
            </w:r>
          </w:p>
        </w:tc>
        <w:tc>
          <w:tcPr>
            <w:tcW w:w="415" w:type="dxa"/>
            <w:tcBorders>
              <w:top w:val="nil"/>
              <w:left w:val="nil"/>
              <w:bottom w:val="nil"/>
              <w:right w:val="nil"/>
            </w:tcBorders>
            <w:shd w:val="clear" w:color="auto" w:fill="auto"/>
            <w:noWrap/>
            <w:vAlign w:val="center"/>
            <w:hideMark/>
          </w:tcPr>
          <w:p w14:paraId="15BF1AF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5F7AFEA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29%</w:t>
            </w:r>
          </w:p>
        </w:tc>
        <w:tc>
          <w:tcPr>
            <w:tcW w:w="671" w:type="dxa"/>
            <w:tcBorders>
              <w:top w:val="nil"/>
              <w:left w:val="nil"/>
              <w:bottom w:val="nil"/>
              <w:right w:val="nil"/>
            </w:tcBorders>
            <w:shd w:val="clear" w:color="auto" w:fill="auto"/>
            <w:noWrap/>
            <w:vAlign w:val="center"/>
            <w:hideMark/>
          </w:tcPr>
          <w:p w14:paraId="0C89177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2.2%</w:t>
            </w:r>
          </w:p>
        </w:tc>
        <w:tc>
          <w:tcPr>
            <w:tcW w:w="514" w:type="dxa"/>
            <w:tcBorders>
              <w:top w:val="nil"/>
              <w:left w:val="nil"/>
              <w:bottom w:val="nil"/>
              <w:right w:val="nil"/>
            </w:tcBorders>
            <w:shd w:val="clear" w:color="auto" w:fill="auto"/>
            <w:noWrap/>
            <w:vAlign w:val="center"/>
            <w:hideMark/>
          </w:tcPr>
          <w:p w14:paraId="02567AF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0.76</w:t>
            </w:r>
          </w:p>
        </w:tc>
        <w:tc>
          <w:tcPr>
            <w:tcW w:w="680" w:type="dxa"/>
            <w:tcBorders>
              <w:top w:val="nil"/>
              <w:left w:val="nil"/>
              <w:bottom w:val="nil"/>
              <w:right w:val="nil"/>
            </w:tcBorders>
            <w:shd w:val="clear" w:color="auto" w:fill="auto"/>
            <w:noWrap/>
            <w:vAlign w:val="center"/>
            <w:hideMark/>
          </w:tcPr>
          <w:p w14:paraId="4AB9035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2.15</w:t>
            </w:r>
          </w:p>
        </w:tc>
        <w:tc>
          <w:tcPr>
            <w:tcW w:w="907" w:type="dxa"/>
            <w:gridSpan w:val="2"/>
            <w:tcBorders>
              <w:top w:val="nil"/>
              <w:left w:val="nil"/>
              <w:bottom w:val="nil"/>
              <w:right w:val="nil"/>
            </w:tcBorders>
            <w:shd w:val="clear" w:color="auto" w:fill="auto"/>
            <w:noWrap/>
            <w:vAlign w:val="center"/>
            <w:hideMark/>
          </w:tcPr>
          <w:p w14:paraId="36C1183D"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1.76-2.63</w:t>
            </w:r>
          </w:p>
        </w:tc>
        <w:tc>
          <w:tcPr>
            <w:tcW w:w="415" w:type="dxa"/>
            <w:gridSpan w:val="2"/>
            <w:tcBorders>
              <w:top w:val="nil"/>
              <w:left w:val="nil"/>
              <w:bottom w:val="nil"/>
              <w:right w:val="nil"/>
            </w:tcBorders>
            <w:shd w:val="clear" w:color="auto" w:fill="auto"/>
            <w:noWrap/>
            <w:vAlign w:val="center"/>
            <w:hideMark/>
          </w:tcPr>
          <w:p w14:paraId="28CBB68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r>
      <w:tr w:rsidR="008D4557" w:rsidRPr="008D4557" w14:paraId="6DF84A18"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1111581D"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roofErr w:type="spellStart"/>
            <w:r w:rsidRPr="008D4557">
              <w:rPr>
                <w:rFonts w:ascii="Arial" w:eastAsia="Times New Roman" w:hAnsi="Arial" w:cs="Arial"/>
                <w:color w:val="000000"/>
                <w:sz w:val="20"/>
                <w:szCs w:val="20"/>
                <w:lang w:val="es-ES" w:eastAsia="es-ES"/>
              </w:rPr>
              <w:t>Cohort</w:t>
            </w:r>
            <w:proofErr w:type="spellEnd"/>
            <w:r w:rsidRPr="008D4557">
              <w:rPr>
                <w:rFonts w:ascii="Arial" w:eastAsia="Times New Roman" w:hAnsi="Arial" w:cs="Arial"/>
                <w:color w:val="000000"/>
                <w:sz w:val="20"/>
                <w:szCs w:val="20"/>
                <w:lang w:val="es-ES" w:eastAsia="es-ES"/>
              </w:rPr>
              <w:t xml:space="preserve"> 1954-63</w:t>
            </w:r>
          </w:p>
        </w:tc>
        <w:tc>
          <w:tcPr>
            <w:tcW w:w="180" w:type="dxa"/>
            <w:tcBorders>
              <w:top w:val="nil"/>
              <w:left w:val="nil"/>
              <w:bottom w:val="nil"/>
              <w:right w:val="nil"/>
            </w:tcBorders>
            <w:shd w:val="clear" w:color="auto" w:fill="auto"/>
            <w:noWrap/>
            <w:vAlign w:val="center"/>
            <w:hideMark/>
          </w:tcPr>
          <w:p w14:paraId="616DFB05"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5343C848"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6A67475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20%</w:t>
            </w:r>
          </w:p>
        </w:tc>
        <w:tc>
          <w:tcPr>
            <w:tcW w:w="671" w:type="dxa"/>
            <w:tcBorders>
              <w:top w:val="nil"/>
              <w:left w:val="nil"/>
              <w:bottom w:val="nil"/>
              <w:right w:val="nil"/>
            </w:tcBorders>
            <w:shd w:val="clear" w:color="auto" w:fill="auto"/>
            <w:noWrap/>
            <w:vAlign w:val="center"/>
            <w:hideMark/>
          </w:tcPr>
          <w:p w14:paraId="17290F5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26%</w:t>
            </w:r>
          </w:p>
        </w:tc>
        <w:tc>
          <w:tcPr>
            <w:tcW w:w="514" w:type="dxa"/>
            <w:tcBorders>
              <w:top w:val="nil"/>
              <w:left w:val="nil"/>
              <w:bottom w:val="nil"/>
              <w:right w:val="nil"/>
            </w:tcBorders>
            <w:shd w:val="clear" w:color="auto" w:fill="auto"/>
            <w:noWrap/>
            <w:vAlign w:val="center"/>
            <w:hideMark/>
          </w:tcPr>
          <w:p w14:paraId="1D3DD5D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0.80</w:t>
            </w:r>
          </w:p>
        </w:tc>
        <w:tc>
          <w:tcPr>
            <w:tcW w:w="514" w:type="dxa"/>
            <w:tcBorders>
              <w:top w:val="nil"/>
              <w:left w:val="nil"/>
              <w:bottom w:val="nil"/>
              <w:right w:val="nil"/>
            </w:tcBorders>
            <w:shd w:val="clear" w:color="auto" w:fill="auto"/>
            <w:noWrap/>
            <w:vAlign w:val="center"/>
            <w:hideMark/>
          </w:tcPr>
          <w:p w14:paraId="6842830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2.22</w:t>
            </w:r>
          </w:p>
        </w:tc>
        <w:tc>
          <w:tcPr>
            <w:tcW w:w="907" w:type="dxa"/>
            <w:tcBorders>
              <w:top w:val="nil"/>
              <w:left w:val="nil"/>
              <w:bottom w:val="nil"/>
              <w:right w:val="nil"/>
            </w:tcBorders>
            <w:shd w:val="clear" w:color="auto" w:fill="auto"/>
            <w:noWrap/>
            <w:vAlign w:val="center"/>
            <w:hideMark/>
          </w:tcPr>
          <w:p w14:paraId="5AA8CA01"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2.08-2.37</w:t>
            </w:r>
          </w:p>
        </w:tc>
        <w:tc>
          <w:tcPr>
            <w:tcW w:w="415" w:type="dxa"/>
            <w:tcBorders>
              <w:top w:val="nil"/>
              <w:left w:val="nil"/>
              <w:bottom w:val="nil"/>
              <w:right w:val="nil"/>
            </w:tcBorders>
            <w:shd w:val="clear" w:color="auto" w:fill="auto"/>
            <w:noWrap/>
            <w:vAlign w:val="center"/>
            <w:hideMark/>
          </w:tcPr>
          <w:p w14:paraId="185A5FE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5E1D1A9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11%</w:t>
            </w:r>
          </w:p>
        </w:tc>
        <w:tc>
          <w:tcPr>
            <w:tcW w:w="671" w:type="dxa"/>
            <w:tcBorders>
              <w:top w:val="nil"/>
              <w:left w:val="nil"/>
              <w:bottom w:val="nil"/>
              <w:right w:val="nil"/>
            </w:tcBorders>
            <w:shd w:val="clear" w:color="auto" w:fill="auto"/>
            <w:noWrap/>
            <w:vAlign w:val="center"/>
            <w:hideMark/>
          </w:tcPr>
          <w:p w14:paraId="1D91391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50.1%</w:t>
            </w:r>
          </w:p>
        </w:tc>
        <w:tc>
          <w:tcPr>
            <w:tcW w:w="514" w:type="dxa"/>
            <w:tcBorders>
              <w:top w:val="nil"/>
              <w:left w:val="nil"/>
              <w:bottom w:val="nil"/>
              <w:right w:val="nil"/>
            </w:tcBorders>
            <w:shd w:val="clear" w:color="auto" w:fill="auto"/>
            <w:noWrap/>
            <w:vAlign w:val="center"/>
            <w:hideMark/>
          </w:tcPr>
          <w:p w14:paraId="6748105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0.80</w:t>
            </w:r>
          </w:p>
        </w:tc>
        <w:tc>
          <w:tcPr>
            <w:tcW w:w="617" w:type="dxa"/>
            <w:tcBorders>
              <w:top w:val="nil"/>
              <w:left w:val="nil"/>
              <w:bottom w:val="nil"/>
              <w:right w:val="nil"/>
            </w:tcBorders>
            <w:shd w:val="clear" w:color="auto" w:fill="auto"/>
            <w:noWrap/>
            <w:vAlign w:val="center"/>
            <w:hideMark/>
          </w:tcPr>
          <w:p w14:paraId="52A752B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2.23</w:t>
            </w:r>
          </w:p>
        </w:tc>
        <w:tc>
          <w:tcPr>
            <w:tcW w:w="907" w:type="dxa"/>
            <w:tcBorders>
              <w:top w:val="nil"/>
              <w:left w:val="nil"/>
              <w:bottom w:val="nil"/>
              <w:right w:val="nil"/>
            </w:tcBorders>
            <w:shd w:val="clear" w:color="auto" w:fill="auto"/>
            <w:noWrap/>
            <w:vAlign w:val="center"/>
            <w:hideMark/>
          </w:tcPr>
          <w:p w14:paraId="781CF50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2.08-2.39</w:t>
            </w:r>
          </w:p>
        </w:tc>
        <w:tc>
          <w:tcPr>
            <w:tcW w:w="415" w:type="dxa"/>
            <w:tcBorders>
              <w:top w:val="nil"/>
              <w:left w:val="nil"/>
              <w:bottom w:val="nil"/>
              <w:right w:val="nil"/>
            </w:tcBorders>
            <w:shd w:val="clear" w:color="auto" w:fill="auto"/>
            <w:noWrap/>
            <w:vAlign w:val="center"/>
            <w:hideMark/>
          </w:tcPr>
          <w:p w14:paraId="09F19A8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14C2573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11%</w:t>
            </w:r>
          </w:p>
        </w:tc>
        <w:tc>
          <w:tcPr>
            <w:tcW w:w="671" w:type="dxa"/>
            <w:tcBorders>
              <w:top w:val="nil"/>
              <w:left w:val="nil"/>
              <w:bottom w:val="nil"/>
              <w:right w:val="nil"/>
            </w:tcBorders>
            <w:shd w:val="clear" w:color="auto" w:fill="auto"/>
            <w:noWrap/>
            <w:vAlign w:val="center"/>
            <w:hideMark/>
          </w:tcPr>
          <w:p w14:paraId="7E985322"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1.3%</w:t>
            </w:r>
          </w:p>
        </w:tc>
        <w:tc>
          <w:tcPr>
            <w:tcW w:w="514" w:type="dxa"/>
            <w:tcBorders>
              <w:top w:val="nil"/>
              <w:left w:val="nil"/>
              <w:bottom w:val="nil"/>
              <w:right w:val="nil"/>
            </w:tcBorders>
            <w:shd w:val="clear" w:color="auto" w:fill="auto"/>
            <w:noWrap/>
            <w:vAlign w:val="center"/>
            <w:hideMark/>
          </w:tcPr>
          <w:p w14:paraId="34BA391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0.99</w:t>
            </w:r>
          </w:p>
        </w:tc>
        <w:tc>
          <w:tcPr>
            <w:tcW w:w="680" w:type="dxa"/>
            <w:tcBorders>
              <w:top w:val="nil"/>
              <w:left w:val="nil"/>
              <w:bottom w:val="nil"/>
              <w:right w:val="nil"/>
            </w:tcBorders>
            <w:shd w:val="clear" w:color="auto" w:fill="auto"/>
            <w:noWrap/>
            <w:vAlign w:val="center"/>
            <w:hideMark/>
          </w:tcPr>
          <w:p w14:paraId="672DC77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2.68</w:t>
            </w:r>
          </w:p>
        </w:tc>
        <w:tc>
          <w:tcPr>
            <w:tcW w:w="907" w:type="dxa"/>
            <w:gridSpan w:val="2"/>
            <w:tcBorders>
              <w:top w:val="nil"/>
              <w:left w:val="nil"/>
              <w:bottom w:val="nil"/>
              <w:right w:val="nil"/>
            </w:tcBorders>
            <w:shd w:val="clear" w:color="auto" w:fill="auto"/>
            <w:noWrap/>
            <w:vAlign w:val="center"/>
            <w:hideMark/>
          </w:tcPr>
          <w:p w14:paraId="624996A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1.99-3.62</w:t>
            </w:r>
          </w:p>
        </w:tc>
        <w:tc>
          <w:tcPr>
            <w:tcW w:w="415" w:type="dxa"/>
            <w:gridSpan w:val="2"/>
            <w:tcBorders>
              <w:top w:val="nil"/>
              <w:left w:val="nil"/>
              <w:bottom w:val="nil"/>
              <w:right w:val="nil"/>
            </w:tcBorders>
            <w:shd w:val="clear" w:color="auto" w:fill="auto"/>
            <w:noWrap/>
            <w:vAlign w:val="center"/>
            <w:hideMark/>
          </w:tcPr>
          <w:p w14:paraId="3C24E1D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r>
      <w:tr w:rsidR="008D4557" w:rsidRPr="008D4557" w14:paraId="23874B74"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tcPr>
          <w:p w14:paraId="693F70E1" w14:textId="77777777" w:rsidR="00416D9D" w:rsidRPr="008D4557" w:rsidRDefault="00416D9D" w:rsidP="00416D9D">
            <w:pPr>
              <w:spacing w:after="0" w:line="240" w:lineRule="auto"/>
              <w:jc w:val="right"/>
              <w:rPr>
                <w:rFonts w:ascii="Arial" w:eastAsia="Times New Roman" w:hAnsi="Arial" w:cs="Arial"/>
                <w:bCs/>
                <w:i/>
                <w:iCs/>
                <w:color w:val="000000"/>
                <w:sz w:val="20"/>
                <w:szCs w:val="20"/>
                <w:u w:val="single"/>
                <w:lang w:val="es-ES" w:eastAsia="es-ES"/>
              </w:rPr>
            </w:pPr>
          </w:p>
        </w:tc>
        <w:tc>
          <w:tcPr>
            <w:tcW w:w="180" w:type="dxa"/>
            <w:tcBorders>
              <w:top w:val="nil"/>
              <w:left w:val="nil"/>
              <w:bottom w:val="nil"/>
              <w:right w:val="nil"/>
            </w:tcBorders>
            <w:shd w:val="clear" w:color="auto" w:fill="auto"/>
            <w:noWrap/>
            <w:vAlign w:val="center"/>
          </w:tcPr>
          <w:p w14:paraId="41DA52D0"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tcPr>
          <w:p w14:paraId="6FA7BEB1"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679" w:type="dxa"/>
            <w:tcBorders>
              <w:top w:val="nil"/>
              <w:left w:val="nil"/>
              <w:bottom w:val="nil"/>
              <w:right w:val="nil"/>
            </w:tcBorders>
            <w:shd w:val="clear" w:color="auto" w:fill="auto"/>
            <w:noWrap/>
            <w:vAlign w:val="center"/>
          </w:tcPr>
          <w:p w14:paraId="114B70E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1" w:type="dxa"/>
            <w:tcBorders>
              <w:top w:val="nil"/>
              <w:left w:val="nil"/>
              <w:bottom w:val="nil"/>
              <w:right w:val="nil"/>
            </w:tcBorders>
            <w:shd w:val="clear" w:color="auto" w:fill="auto"/>
            <w:noWrap/>
            <w:vAlign w:val="center"/>
          </w:tcPr>
          <w:p w14:paraId="1638323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04EAC34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3D51E16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tcPr>
          <w:p w14:paraId="0940A36E"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tcPr>
          <w:p w14:paraId="0FCA6E3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tcPr>
          <w:p w14:paraId="63F39AE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1" w:type="dxa"/>
            <w:tcBorders>
              <w:top w:val="nil"/>
              <w:left w:val="nil"/>
              <w:bottom w:val="nil"/>
              <w:right w:val="nil"/>
            </w:tcBorders>
            <w:shd w:val="clear" w:color="auto" w:fill="auto"/>
            <w:noWrap/>
            <w:vAlign w:val="center"/>
          </w:tcPr>
          <w:p w14:paraId="138AAF71"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4A7950E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tcPr>
          <w:p w14:paraId="2B207E8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tcPr>
          <w:p w14:paraId="18A238F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tcPr>
          <w:p w14:paraId="2270194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tcPr>
          <w:p w14:paraId="4185649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1" w:type="dxa"/>
            <w:tcBorders>
              <w:top w:val="nil"/>
              <w:left w:val="nil"/>
              <w:bottom w:val="nil"/>
              <w:right w:val="nil"/>
            </w:tcBorders>
            <w:shd w:val="clear" w:color="auto" w:fill="auto"/>
            <w:noWrap/>
            <w:vAlign w:val="center"/>
          </w:tcPr>
          <w:p w14:paraId="35710BD6"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tcPr>
          <w:p w14:paraId="4CDFEAC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tcPr>
          <w:p w14:paraId="453FC76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tcPr>
          <w:p w14:paraId="3AD1FA89"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tcPr>
          <w:p w14:paraId="2485291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0533F06B"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186655AB" w14:textId="77777777" w:rsidR="00416D9D" w:rsidRPr="008D4557" w:rsidRDefault="00416D9D" w:rsidP="00416D9D">
            <w:pPr>
              <w:spacing w:after="0" w:line="240" w:lineRule="auto"/>
              <w:jc w:val="right"/>
              <w:rPr>
                <w:rFonts w:ascii="Arial" w:eastAsia="Times New Roman" w:hAnsi="Arial" w:cs="Arial"/>
                <w:bCs/>
                <w:i/>
                <w:iCs/>
                <w:color w:val="000000"/>
                <w:sz w:val="20"/>
                <w:szCs w:val="20"/>
                <w:u w:val="single"/>
                <w:lang w:val="es-ES" w:eastAsia="es-ES"/>
              </w:rPr>
            </w:pPr>
            <w:proofErr w:type="spellStart"/>
            <w:r w:rsidRPr="008D4557">
              <w:rPr>
                <w:rFonts w:ascii="Arial" w:eastAsia="Times New Roman" w:hAnsi="Arial" w:cs="Arial"/>
                <w:bCs/>
                <w:i/>
                <w:iCs/>
                <w:color w:val="000000"/>
                <w:sz w:val="20"/>
                <w:szCs w:val="20"/>
                <w:u w:val="single"/>
                <w:lang w:val="es-ES" w:eastAsia="es-ES"/>
              </w:rPr>
              <w:t>Education</w:t>
            </w:r>
            <w:proofErr w:type="spellEnd"/>
          </w:p>
        </w:tc>
        <w:tc>
          <w:tcPr>
            <w:tcW w:w="180" w:type="dxa"/>
            <w:tcBorders>
              <w:top w:val="nil"/>
              <w:left w:val="nil"/>
              <w:bottom w:val="nil"/>
              <w:right w:val="nil"/>
            </w:tcBorders>
            <w:shd w:val="clear" w:color="auto" w:fill="auto"/>
            <w:noWrap/>
            <w:vAlign w:val="center"/>
            <w:hideMark/>
          </w:tcPr>
          <w:p w14:paraId="28F14143"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4A616D66" w14:textId="77777777" w:rsidR="00416D9D" w:rsidRPr="008D4557" w:rsidRDefault="00416D9D" w:rsidP="00416D9D">
            <w:pPr>
              <w:spacing w:after="0" w:line="240" w:lineRule="auto"/>
              <w:jc w:val="right"/>
              <w:rPr>
                <w:rFonts w:ascii="Arial" w:eastAsia="Times New Roman" w:hAnsi="Arial" w:cs="Arial"/>
                <w:bCs/>
                <w:i/>
                <w:iCs/>
                <w:color w:val="000000"/>
                <w:sz w:val="20"/>
                <w:szCs w:val="20"/>
                <w:lang w:val="es-ES" w:eastAsia="es-ES"/>
              </w:rPr>
            </w:pPr>
            <w:r w:rsidRPr="008D4557">
              <w:rPr>
                <w:rFonts w:ascii="Arial" w:eastAsia="Times New Roman" w:hAnsi="Arial" w:cs="Arial"/>
                <w:bCs/>
                <w:i/>
                <w:iCs/>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16AEB58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1" w:type="dxa"/>
            <w:tcBorders>
              <w:top w:val="nil"/>
              <w:left w:val="nil"/>
              <w:bottom w:val="nil"/>
              <w:right w:val="nil"/>
            </w:tcBorders>
            <w:shd w:val="clear" w:color="auto" w:fill="auto"/>
            <w:noWrap/>
            <w:vAlign w:val="center"/>
            <w:hideMark/>
          </w:tcPr>
          <w:p w14:paraId="4776BCD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3137FBF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4BCA2DD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264D554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7FCDDCF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17A2A47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558CD7BA"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173CDAA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149C271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45942D3E"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60986A7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5239CB0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0E2F677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4BA0635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630F11A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542473AE"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1576AF6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58115398"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349ADEDC" w14:textId="77777777" w:rsidR="00416D9D" w:rsidRPr="008D4557" w:rsidRDefault="00416D9D" w:rsidP="00416D9D">
            <w:pPr>
              <w:spacing w:after="0" w:line="240" w:lineRule="auto"/>
              <w:jc w:val="right"/>
              <w:rPr>
                <w:rFonts w:ascii="Arial" w:eastAsia="Times New Roman" w:hAnsi="Arial" w:cs="Arial"/>
                <w:i/>
                <w:iCs/>
                <w:color w:val="000000"/>
                <w:sz w:val="20"/>
                <w:szCs w:val="20"/>
                <w:lang w:val="es-ES" w:eastAsia="es-ES"/>
              </w:rPr>
            </w:pPr>
            <w:r w:rsidRPr="008D4557">
              <w:rPr>
                <w:rFonts w:ascii="Arial" w:eastAsia="Times New Roman" w:hAnsi="Arial" w:cs="Arial"/>
                <w:i/>
                <w:iCs/>
                <w:color w:val="000000"/>
                <w:sz w:val="20"/>
                <w:szCs w:val="20"/>
                <w:lang w:val="es-ES" w:eastAsia="es-ES"/>
              </w:rPr>
              <w:t>*</w:t>
            </w:r>
            <w:proofErr w:type="spellStart"/>
            <w:r w:rsidRPr="008D4557">
              <w:rPr>
                <w:rFonts w:ascii="Arial" w:eastAsia="Times New Roman" w:hAnsi="Arial" w:cs="Arial"/>
                <w:i/>
                <w:iCs/>
                <w:color w:val="000000"/>
                <w:sz w:val="20"/>
                <w:szCs w:val="20"/>
                <w:lang w:val="es-ES" w:eastAsia="es-ES"/>
              </w:rPr>
              <w:t>Primary</w:t>
            </w:r>
            <w:proofErr w:type="spellEnd"/>
            <w:r w:rsidRPr="008D4557">
              <w:rPr>
                <w:rFonts w:ascii="Arial" w:eastAsia="Times New Roman" w:hAnsi="Arial" w:cs="Arial"/>
                <w:i/>
                <w:iCs/>
                <w:color w:val="000000"/>
                <w:sz w:val="20"/>
                <w:szCs w:val="20"/>
                <w:lang w:val="es-ES" w:eastAsia="es-ES"/>
              </w:rPr>
              <w:t xml:space="preserve"> (</w:t>
            </w:r>
            <w:proofErr w:type="spellStart"/>
            <w:r w:rsidRPr="008D4557">
              <w:rPr>
                <w:rFonts w:ascii="Arial" w:eastAsia="Times New Roman" w:hAnsi="Arial" w:cs="Arial"/>
                <w:i/>
                <w:iCs/>
                <w:color w:val="000000"/>
                <w:sz w:val="20"/>
                <w:szCs w:val="20"/>
                <w:lang w:val="es-ES" w:eastAsia="es-ES"/>
              </w:rPr>
              <w:t>ref</w:t>
            </w:r>
            <w:proofErr w:type="spellEnd"/>
            <w:r w:rsidRPr="008D4557">
              <w:rPr>
                <w:rFonts w:ascii="Arial" w:eastAsia="Times New Roman" w:hAnsi="Arial" w:cs="Arial"/>
                <w:i/>
                <w:iCs/>
                <w:color w:val="000000"/>
                <w:sz w:val="20"/>
                <w:szCs w:val="20"/>
                <w:lang w:val="es-ES" w:eastAsia="es-ES"/>
              </w:rPr>
              <w:t>)</w:t>
            </w:r>
          </w:p>
        </w:tc>
        <w:tc>
          <w:tcPr>
            <w:tcW w:w="180" w:type="dxa"/>
            <w:tcBorders>
              <w:top w:val="nil"/>
              <w:left w:val="nil"/>
              <w:bottom w:val="nil"/>
              <w:right w:val="nil"/>
            </w:tcBorders>
            <w:shd w:val="clear" w:color="auto" w:fill="auto"/>
            <w:noWrap/>
            <w:vAlign w:val="center"/>
            <w:hideMark/>
          </w:tcPr>
          <w:p w14:paraId="34647B49"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0DDA5F70"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0D8BFCD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48%</w:t>
            </w:r>
          </w:p>
        </w:tc>
        <w:tc>
          <w:tcPr>
            <w:tcW w:w="671" w:type="dxa"/>
            <w:tcBorders>
              <w:top w:val="nil"/>
              <w:left w:val="nil"/>
              <w:bottom w:val="nil"/>
              <w:right w:val="nil"/>
            </w:tcBorders>
            <w:shd w:val="clear" w:color="auto" w:fill="auto"/>
            <w:noWrap/>
            <w:vAlign w:val="center"/>
            <w:hideMark/>
          </w:tcPr>
          <w:p w14:paraId="4E6FA3F0"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45%</w:t>
            </w:r>
          </w:p>
        </w:tc>
        <w:tc>
          <w:tcPr>
            <w:tcW w:w="514" w:type="dxa"/>
            <w:tcBorders>
              <w:top w:val="nil"/>
              <w:left w:val="nil"/>
              <w:bottom w:val="nil"/>
              <w:right w:val="nil"/>
            </w:tcBorders>
            <w:shd w:val="clear" w:color="auto" w:fill="auto"/>
            <w:noWrap/>
            <w:vAlign w:val="center"/>
            <w:hideMark/>
          </w:tcPr>
          <w:p w14:paraId="2BF1143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5AA2512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200F718D"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0B83ECC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5F1FCE8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59%</w:t>
            </w:r>
          </w:p>
        </w:tc>
        <w:tc>
          <w:tcPr>
            <w:tcW w:w="671" w:type="dxa"/>
            <w:tcBorders>
              <w:top w:val="nil"/>
              <w:left w:val="nil"/>
              <w:bottom w:val="nil"/>
              <w:right w:val="nil"/>
            </w:tcBorders>
            <w:shd w:val="clear" w:color="auto" w:fill="auto"/>
            <w:noWrap/>
            <w:vAlign w:val="center"/>
            <w:hideMark/>
          </w:tcPr>
          <w:p w14:paraId="6244213C"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37.6%</w:t>
            </w:r>
          </w:p>
        </w:tc>
        <w:tc>
          <w:tcPr>
            <w:tcW w:w="514" w:type="dxa"/>
            <w:tcBorders>
              <w:top w:val="nil"/>
              <w:left w:val="nil"/>
              <w:bottom w:val="nil"/>
              <w:right w:val="nil"/>
            </w:tcBorders>
            <w:shd w:val="clear" w:color="auto" w:fill="auto"/>
            <w:noWrap/>
            <w:vAlign w:val="center"/>
            <w:hideMark/>
          </w:tcPr>
          <w:p w14:paraId="6ABBDA1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43AB197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15FC09E0"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0113999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67F7E6B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59%</w:t>
            </w:r>
          </w:p>
        </w:tc>
        <w:tc>
          <w:tcPr>
            <w:tcW w:w="671" w:type="dxa"/>
            <w:tcBorders>
              <w:top w:val="nil"/>
              <w:left w:val="nil"/>
              <w:bottom w:val="nil"/>
              <w:right w:val="nil"/>
            </w:tcBorders>
            <w:shd w:val="clear" w:color="auto" w:fill="auto"/>
            <w:noWrap/>
            <w:vAlign w:val="center"/>
            <w:hideMark/>
          </w:tcPr>
          <w:p w14:paraId="2C5A981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5.3%</w:t>
            </w:r>
          </w:p>
        </w:tc>
        <w:tc>
          <w:tcPr>
            <w:tcW w:w="514" w:type="dxa"/>
            <w:tcBorders>
              <w:top w:val="nil"/>
              <w:left w:val="nil"/>
              <w:bottom w:val="nil"/>
              <w:right w:val="nil"/>
            </w:tcBorders>
            <w:shd w:val="clear" w:color="auto" w:fill="auto"/>
            <w:noWrap/>
            <w:vAlign w:val="center"/>
            <w:hideMark/>
          </w:tcPr>
          <w:p w14:paraId="2A8912E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67A7076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0DD2D774"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6CA02DF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7B286676"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2BC0E4D5"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roofErr w:type="spellStart"/>
            <w:r w:rsidRPr="008D4557">
              <w:rPr>
                <w:rFonts w:ascii="Arial" w:eastAsia="Times New Roman" w:hAnsi="Arial" w:cs="Arial"/>
                <w:color w:val="000000"/>
                <w:sz w:val="20"/>
                <w:szCs w:val="20"/>
                <w:lang w:val="es-ES" w:eastAsia="es-ES"/>
              </w:rPr>
              <w:t>Secondary</w:t>
            </w:r>
            <w:proofErr w:type="spellEnd"/>
          </w:p>
        </w:tc>
        <w:tc>
          <w:tcPr>
            <w:tcW w:w="180" w:type="dxa"/>
            <w:tcBorders>
              <w:top w:val="nil"/>
              <w:left w:val="nil"/>
              <w:bottom w:val="nil"/>
              <w:right w:val="nil"/>
            </w:tcBorders>
            <w:shd w:val="clear" w:color="auto" w:fill="auto"/>
            <w:noWrap/>
            <w:vAlign w:val="center"/>
            <w:hideMark/>
          </w:tcPr>
          <w:p w14:paraId="22178776"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7BB489AA"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581229C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37%</w:t>
            </w:r>
          </w:p>
        </w:tc>
        <w:tc>
          <w:tcPr>
            <w:tcW w:w="671" w:type="dxa"/>
            <w:tcBorders>
              <w:top w:val="nil"/>
              <w:left w:val="nil"/>
              <w:bottom w:val="nil"/>
              <w:right w:val="nil"/>
            </w:tcBorders>
            <w:shd w:val="clear" w:color="auto" w:fill="auto"/>
            <w:noWrap/>
            <w:vAlign w:val="center"/>
            <w:hideMark/>
          </w:tcPr>
          <w:p w14:paraId="4BD8B9A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34%</w:t>
            </w:r>
          </w:p>
        </w:tc>
        <w:tc>
          <w:tcPr>
            <w:tcW w:w="514" w:type="dxa"/>
            <w:tcBorders>
              <w:top w:val="nil"/>
              <w:left w:val="nil"/>
              <w:bottom w:val="nil"/>
              <w:right w:val="nil"/>
            </w:tcBorders>
            <w:shd w:val="clear" w:color="auto" w:fill="auto"/>
            <w:noWrap/>
            <w:vAlign w:val="center"/>
            <w:hideMark/>
          </w:tcPr>
          <w:p w14:paraId="54568AF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-0.17</w:t>
            </w:r>
          </w:p>
        </w:tc>
        <w:tc>
          <w:tcPr>
            <w:tcW w:w="514" w:type="dxa"/>
            <w:tcBorders>
              <w:top w:val="nil"/>
              <w:left w:val="nil"/>
              <w:bottom w:val="nil"/>
              <w:right w:val="nil"/>
            </w:tcBorders>
            <w:shd w:val="clear" w:color="auto" w:fill="auto"/>
            <w:noWrap/>
            <w:vAlign w:val="center"/>
            <w:hideMark/>
          </w:tcPr>
          <w:p w14:paraId="171DFD0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0.84</w:t>
            </w:r>
          </w:p>
        </w:tc>
        <w:tc>
          <w:tcPr>
            <w:tcW w:w="907" w:type="dxa"/>
            <w:tcBorders>
              <w:top w:val="nil"/>
              <w:left w:val="nil"/>
              <w:bottom w:val="nil"/>
              <w:right w:val="nil"/>
            </w:tcBorders>
            <w:shd w:val="clear" w:color="auto" w:fill="auto"/>
            <w:noWrap/>
            <w:vAlign w:val="center"/>
            <w:hideMark/>
          </w:tcPr>
          <w:p w14:paraId="74809A1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0.83-0.86</w:t>
            </w:r>
          </w:p>
        </w:tc>
        <w:tc>
          <w:tcPr>
            <w:tcW w:w="415" w:type="dxa"/>
            <w:tcBorders>
              <w:top w:val="nil"/>
              <w:left w:val="nil"/>
              <w:bottom w:val="nil"/>
              <w:right w:val="nil"/>
            </w:tcBorders>
            <w:shd w:val="clear" w:color="auto" w:fill="auto"/>
            <w:noWrap/>
            <w:vAlign w:val="center"/>
            <w:hideMark/>
          </w:tcPr>
          <w:p w14:paraId="04A4F03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46A0A2A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32%</w:t>
            </w:r>
          </w:p>
        </w:tc>
        <w:tc>
          <w:tcPr>
            <w:tcW w:w="671" w:type="dxa"/>
            <w:tcBorders>
              <w:top w:val="nil"/>
              <w:left w:val="nil"/>
              <w:bottom w:val="nil"/>
              <w:right w:val="nil"/>
            </w:tcBorders>
            <w:shd w:val="clear" w:color="auto" w:fill="auto"/>
            <w:noWrap/>
            <w:vAlign w:val="center"/>
            <w:hideMark/>
          </w:tcPr>
          <w:p w14:paraId="1B8BF83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41.3%</w:t>
            </w:r>
          </w:p>
        </w:tc>
        <w:tc>
          <w:tcPr>
            <w:tcW w:w="514" w:type="dxa"/>
            <w:tcBorders>
              <w:top w:val="nil"/>
              <w:left w:val="nil"/>
              <w:bottom w:val="nil"/>
              <w:right w:val="nil"/>
            </w:tcBorders>
            <w:shd w:val="clear" w:color="auto" w:fill="auto"/>
            <w:noWrap/>
            <w:vAlign w:val="center"/>
            <w:hideMark/>
          </w:tcPr>
          <w:p w14:paraId="63BE4E3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-0.04</w:t>
            </w:r>
          </w:p>
        </w:tc>
        <w:tc>
          <w:tcPr>
            <w:tcW w:w="617" w:type="dxa"/>
            <w:tcBorders>
              <w:top w:val="nil"/>
              <w:left w:val="nil"/>
              <w:bottom w:val="nil"/>
              <w:right w:val="nil"/>
            </w:tcBorders>
            <w:shd w:val="clear" w:color="auto" w:fill="auto"/>
            <w:noWrap/>
            <w:vAlign w:val="center"/>
            <w:hideMark/>
          </w:tcPr>
          <w:p w14:paraId="16CC687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0.96</w:t>
            </w:r>
          </w:p>
        </w:tc>
        <w:tc>
          <w:tcPr>
            <w:tcW w:w="907" w:type="dxa"/>
            <w:tcBorders>
              <w:top w:val="nil"/>
              <w:left w:val="nil"/>
              <w:bottom w:val="nil"/>
              <w:right w:val="nil"/>
            </w:tcBorders>
            <w:shd w:val="clear" w:color="auto" w:fill="auto"/>
            <w:noWrap/>
            <w:vAlign w:val="center"/>
            <w:hideMark/>
          </w:tcPr>
          <w:p w14:paraId="3AD0125E"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0.95-0.98</w:t>
            </w:r>
          </w:p>
        </w:tc>
        <w:tc>
          <w:tcPr>
            <w:tcW w:w="415" w:type="dxa"/>
            <w:tcBorders>
              <w:top w:val="nil"/>
              <w:left w:val="nil"/>
              <w:bottom w:val="nil"/>
              <w:right w:val="nil"/>
            </w:tcBorders>
            <w:shd w:val="clear" w:color="auto" w:fill="auto"/>
            <w:noWrap/>
            <w:vAlign w:val="center"/>
            <w:hideMark/>
          </w:tcPr>
          <w:p w14:paraId="5B5D6D0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2A2C66F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32%</w:t>
            </w:r>
          </w:p>
        </w:tc>
        <w:tc>
          <w:tcPr>
            <w:tcW w:w="671" w:type="dxa"/>
            <w:tcBorders>
              <w:top w:val="nil"/>
              <w:left w:val="nil"/>
              <w:bottom w:val="nil"/>
              <w:right w:val="nil"/>
            </w:tcBorders>
            <w:shd w:val="clear" w:color="auto" w:fill="auto"/>
            <w:noWrap/>
            <w:vAlign w:val="center"/>
            <w:hideMark/>
          </w:tcPr>
          <w:p w14:paraId="04768E70"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3.6%</w:t>
            </w:r>
          </w:p>
        </w:tc>
        <w:tc>
          <w:tcPr>
            <w:tcW w:w="514" w:type="dxa"/>
            <w:tcBorders>
              <w:top w:val="nil"/>
              <w:left w:val="nil"/>
              <w:bottom w:val="nil"/>
              <w:right w:val="nil"/>
            </w:tcBorders>
            <w:shd w:val="clear" w:color="auto" w:fill="auto"/>
            <w:noWrap/>
            <w:vAlign w:val="center"/>
            <w:hideMark/>
          </w:tcPr>
          <w:p w14:paraId="5343127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0.04</w:t>
            </w:r>
          </w:p>
        </w:tc>
        <w:tc>
          <w:tcPr>
            <w:tcW w:w="680" w:type="dxa"/>
            <w:tcBorders>
              <w:top w:val="nil"/>
              <w:left w:val="nil"/>
              <w:bottom w:val="nil"/>
              <w:right w:val="nil"/>
            </w:tcBorders>
            <w:shd w:val="clear" w:color="auto" w:fill="auto"/>
            <w:noWrap/>
            <w:vAlign w:val="center"/>
            <w:hideMark/>
          </w:tcPr>
          <w:p w14:paraId="4F28266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1.04</w:t>
            </w:r>
          </w:p>
        </w:tc>
        <w:tc>
          <w:tcPr>
            <w:tcW w:w="907" w:type="dxa"/>
            <w:gridSpan w:val="2"/>
            <w:tcBorders>
              <w:top w:val="nil"/>
              <w:left w:val="nil"/>
              <w:bottom w:val="nil"/>
              <w:right w:val="nil"/>
            </w:tcBorders>
            <w:shd w:val="clear" w:color="auto" w:fill="auto"/>
            <w:noWrap/>
            <w:vAlign w:val="center"/>
            <w:hideMark/>
          </w:tcPr>
          <w:p w14:paraId="5256796A"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0.98-1.10</w:t>
            </w:r>
          </w:p>
        </w:tc>
        <w:tc>
          <w:tcPr>
            <w:tcW w:w="415" w:type="dxa"/>
            <w:gridSpan w:val="2"/>
            <w:tcBorders>
              <w:top w:val="nil"/>
              <w:left w:val="nil"/>
              <w:bottom w:val="nil"/>
              <w:right w:val="nil"/>
            </w:tcBorders>
            <w:shd w:val="clear" w:color="auto" w:fill="auto"/>
            <w:noWrap/>
            <w:vAlign w:val="center"/>
            <w:hideMark/>
          </w:tcPr>
          <w:p w14:paraId="5A7CA73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21A54E72"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57EFA983"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roofErr w:type="spellStart"/>
            <w:r w:rsidRPr="008D4557">
              <w:rPr>
                <w:rFonts w:ascii="Arial" w:eastAsia="Times New Roman" w:hAnsi="Arial" w:cs="Arial"/>
                <w:color w:val="000000"/>
                <w:sz w:val="20"/>
                <w:szCs w:val="20"/>
                <w:lang w:val="es-ES" w:eastAsia="es-ES"/>
              </w:rPr>
              <w:t>Tertiary</w:t>
            </w:r>
            <w:proofErr w:type="spellEnd"/>
          </w:p>
        </w:tc>
        <w:tc>
          <w:tcPr>
            <w:tcW w:w="180" w:type="dxa"/>
            <w:tcBorders>
              <w:top w:val="nil"/>
              <w:left w:val="nil"/>
              <w:bottom w:val="nil"/>
              <w:right w:val="nil"/>
            </w:tcBorders>
            <w:shd w:val="clear" w:color="auto" w:fill="auto"/>
            <w:noWrap/>
            <w:vAlign w:val="center"/>
            <w:hideMark/>
          </w:tcPr>
          <w:p w14:paraId="2046EF1E"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5C501449"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07270BD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15%</w:t>
            </w:r>
          </w:p>
        </w:tc>
        <w:tc>
          <w:tcPr>
            <w:tcW w:w="671" w:type="dxa"/>
            <w:tcBorders>
              <w:top w:val="nil"/>
              <w:left w:val="nil"/>
              <w:bottom w:val="nil"/>
              <w:right w:val="nil"/>
            </w:tcBorders>
            <w:shd w:val="clear" w:color="auto" w:fill="auto"/>
            <w:noWrap/>
            <w:vAlign w:val="center"/>
            <w:hideMark/>
          </w:tcPr>
          <w:p w14:paraId="7FFCF57D"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28%</w:t>
            </w:r>
          </w:p>
        </w:tc>
        <w:tc>
          <w:tcPr>
            <w:tcW w:w="514" w:type="dxa"/>
            <w:tcBorders>
              <w:top w:val="nil"/>
              <w:left w:val="nil"/>
              <w:bottom w:val="nil"/>
              <w:right w:val="nil"/>
            </w:tcBorders>
            <w:shd w:val="clear" w:color="auto" w:fill="auto"/>
            <w:noWrap/>
            <w:vAlign w:val="center"/>
            <w:hideMark/>
          </w:tcPr>
          <w:p w14:paraId="2662AED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-0.41</w:t>
            </w:r>
          </w:p>
        </w:tc>
        <w:tc>
          <w:tcPr>
            <w:tcW w:w="514" w:type="dxa"/>
            <w:tcBorders>
              <w:top w:val="nil"/>
              <w:left w:val="nil"/>
              <w:bottom w:val="nil"/>
              <w:right w:val="nil"/>
            </w:tcBorders>
            <w:shd w:val="clear" w:color="auto" w:fill="auto"/>
            <w:noWrap/>
            <w:vAlign w:val="center"/>
            <w:hideMark/>
          </w:tcPr>
          <w:p w14:paraId="32D9BC9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0.66</w:t>
            </w:r>
          </w:p>
        </w:tc>
        <w:tc>
          <w:tcPr>
            <w:tcW w:w="907" w:type="dxa"/>
            <w:tcBorders>
              <w:top w:val="nil"/>
              <w:left w:val="nil"/>
              <w:bottom w:val="nil"/>
              <w:right w:val="nil"/>
            </w:tcBorders>
            <w:shd w:val="clear" w:color="auto" w:fill="auto"/>
            <w:noWrap/>
            <w:vAlign w:val="center"/>
            <w:hideMark/>
          </w:tcPr>
          <w:p w14:paraId="66245121"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0.65-0.68</w:t>
            </w:r>
          </w:p>
        </w:tc>
        <w:tc>
          <w:tcPr>
            <w:tcW w:w="415" w:type="dxa"/>
            <w:tcBorders>
              <w:top w:val="nil"/>
              <w:left w:val="nil"/>
              <w:bottom w:val="nil"/>
              <w:right w:val="nil"/>
            </w:tcBorders>
            <w:shd w:val="clear" w:color="auto" w:fill="auto"/>
            <w:noWrap/>
            <w:vAlign w:val="center"/>
            <w:hideMark/>
          </w:tcPr>
          <w:p w14:paraId="1A49574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0AA4FA2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9%</w:t>
            </w:r>
          </w:p>
        </w:tc>
        <w:tc>
          <w:tcPr>
            <w:tcW w:w="671" w:type="dxa"/>
            <w:tcBorders>
              <w:top w:val="nil"/>
              <w:left w:val="nil"/>
              <w:bottom w:val="nil"/>
              <w:right w:val="nil"/>
            </w:tcBorders>
            <w:shd w:val="clear" w:color="auto" w:fill="auto"/>
            <w:noWrap/>
            <w:vAlign w:val="center"/>
            <w:hideMark/>
          </w:tcPr>
          <w:p w14:paraId="761E9EEF"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49.6%</w:t>
            </w:r>
          </w:p>
        </w:tc>
        <w:tc>
          <w:tcPr>
            <w:tcW w:w="514" w:type="dxa"/>
            <w:tcBorders>
              <w:top w:val="nil"/>
              <w:left w:val="nil"/>
              <w:bottom w:val="nil"/>
              <w:right w:val="nil"/>
            </w:tcBorders>
            <w:shd w:val="clear" w:color="auto" w:fill="auto"/>
            <w:noWrap/>
            <w:vAlign w:val="center"/>
            <w:hideMark/>
          </w:tcPr>
          <w:p w14:paraId="0FC42A1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0.26</w:t>
            </w:r>
          </w:p>
        </w:tc>
        <w:tc>
          <w:tcPr>
            <w:tcW w:w="617" w:type="dxa"/>
            <w:tcBorders>
              <w:top w:val="nil"/>
              <w:left w:val="nil"/>
              <w:bottom w:val="nil"/>
              <w:right w:val="nil"/>
            </w:tcBorders>
            <w:shd w:val="clear" w:color="auto" w:fill="auto"/>
            <w:noWrap/>
            <w:vAlign w:val="center"/>
            <w:hideMark/>
          </w:tcPr>
          <w:p w14:paraId="738E8FB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1.30</w:t>
            </w:r>
          </w:p>
        </w:tc>
        <w:tc>
          <w:tcPr>
            <w:tcW w:w="907" w:type="dxa"/>
            <w:tcBorders>
              <w:top w:val="nil"/>
              <w:left w:val="nil"/>
              <w:bottom w:val="nil"/>
              <w:right w:val="nil"/>
            </w:tcBorders>
            <w:shd w:val="clear" w:color="auto" w:fill="auto"/>
            <w:noWrap/>
            <w:vAlign w:val="center"/>
            <w:hideMark/>
          </w:tcPr>
          <w:p w14:paraId="3F2D1D0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1.27-1.34</w:t>
            </w:r>
          </w:p>
        </w:tc>
        <w:tc>
          <w:tcPr>
            <w:tcW w:w="415" w:type="dxa"/>
            <w:tcBorders>
              <w:top w:val="nil"/>
              <w:left w:val="nil"/>
              <w:bottom w:val="nil"/>
              <w:right w:val="nil"/>
            </w:tcBorders>
            <w:shd w:val="clear" w:color="auto" w:fill="auto"/>
            <w:noWrap/>
            <w:vAlign w:val="center"/>
            <w:hideMark/>
          </w:tcPr>
          <w:p w14:paraId="40BF679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c>
          <w:tcPr>
            <w:tcW w:w="679" w:type="dxa"/>
            <w:tcBorders>
              <w:top w:val="nil"/>
              <w:left w:val="single" w:sz="4" w:space="0" w:color="auto"/>
              <w:bottom w:val="nil"/>
              <w:right w:val="nil"/>
            </w:tcBorders>
            <w:shd w:val="clear" w:color="auto" w:fill="auto"/>
            <w:noWrap/>
            <w:vAlign w:val="center"/>
            <w:hideMark/>
          </w:tcPr>
          <w:p w14:paraId="09F5E1B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9%</w:t>
            </w:r>
          </w:p>
        </w:tc>
        <w:tc>
          <w:tcPr>
            <w:tcW w:w="671" w:type="dxa"/>
            <w:tcBorders>
              <w:top w:val="nil"/>
              <w:left w:val="nil"/>
              <w:bottom w:val="nil"/>
              <w:right w:val="nil"/>
            </w:tcBorders>
            <w:shd w:val="clear" w:color="auto" w:fill="auto"/>
            <w:noWrap/>
            <w:vAlign w:val="center"/>
            <w:hideMark/>
          </w:tcPr>
          <w:p w14:paraId="38E15631"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3.3%</w:t>
            </w:r>
          </w:p>
        </w:tc>
        <w:tc>
          <w:tcPr>
            <w:tcW w:w="514" w:type="dxa"/>
            <w:tcBorders>
              <w:top w:val="nil"/>
              <w:left w:val="nil"/>
              <w:bottom w:val="nil"/>
              <w:right w:val="nil"/>
            </w:tcBorders>
            <w:shd w:val="clear" w:color="auto" w:fill="auto"/>
            <w:noWrap/>
            <w:vAlign w:val="center"/>
            <w:hideMark/>
          </w:tcPr>
          <w:p w14:paraId="37B4636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-0.15</w:t>
            </w:r>
          </w:p>
        </w:tc>
        <w:tc>
          <w:tcPr>
            <w:tcW w:w="680" w:type="dxa"/>
            <w:tcBorders>
              <w:top w:val="nil"/>
              <w:left w:val="nil"/>
              <w:bottom w:val="nil"/>
              <w:right w:val="nil"/>
            </w:tcBorders>
            <w:shd w:val="clear" w:color="auto" w:fill="auto"/>
            <w:noWrap/>
            <w:vAlign w:val="center"/>
            <w:hideMark/>
          </w:tcPr>
          <w:p w14:paraId="1E572D5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0.86</w:t>
            </w:r>
          </w:p>
        </w:tc>
        <w:tc>
          <w:tcPr>
            <w:tcW w:w="907" w:type="dxa"/>
            <w:gridSpan w:val="2"/>
            <w:tcBorders>
              <w:top w:val="nil"/>
              <w:left w:val="nil"/>
              <w:bottom w:val="nil"/>
              <w:right w:val="nil"/>
            </w:tcBorders>
            <w:shd w:val="clear" w:color="auto" w:fill="auto"/>
            <w:noWrap/>
            <w:vAlign w:val="center"/>
            <w:hideMark/>
          </w:tcPr>
          <w:p w14:paraId="1172DC7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0.78-0.95</w:t>
            </w:r>
          </w:p>
        </w:tc>
        <w:tc>
          <w:tcPr>
            <w:tcW w:w="415" w:type="dxa"/>
            <w:gridSpan w:val="2"/>
            <w:tcBorders>
              <w:top w:val="nil"/>
              <w:left w:val="nil"/>
              <w:bottom w:val="nil"/>
              <w:right w:val="nil"/>
            </w:tcBorders>
            <w:shd w:val="clear" w:color="auto" w:fill="auto"/>
            <w:noWrap/>
            <w:vAlign w:val="center"/>
            <w:hideMark/>
          </w:tcPr>
          <w:p w14:paraId="7E8078C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w:t>
            </w:r>
          </w:p>
        </w:tc>
      </w:tr>
      <w:tr w:rsidR="008D4557" w:rsidRPr="008D4557" w14:paraId="620CE4C9"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5DBF2615"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nil"/>
              <w:bottom w:val="nil"/>
              <w:right w:val="nil"/>
            </w:tcBorders>
            <w:shd w:val="clear" w:color="auto" w:fill="auto"/>
            <w:noWrap/>
            <w:vAlign w:val="center"/>
            <w:hideMark/>
          </w:tcPr>
          <w:p w14:paraId="0924D617"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6535D764"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5D95098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1" w:type="dxa"/>
            <w:tcBorders>
              <w:top w:val="nil"/>
              <w:left w:val="nil"/>
              <w:bottom w:val="nil"/>
              <w:right w:val="nil"/>
            </w:tcBorders>
            <w:shd w:val="clear" w:color="auto" w:fill="auto"/>
            <w:noWrap/>
            <w:vAlign w:val="center"/>
            <w:hideMark/>
          </w:tcPr>
          <w:p w14:paraId="399B064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0B4C151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00D25B5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2106EABB"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2167BE69"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right w:val="nil"/>
            </w:tcBorders>
            <w:shd w:val="clear" w:color="auto" w:fill="auto"/>
            <w:noWrap/>
            <w:vAlign w:val="center"/>
            <w:hideMark/>
          </w:tcPr>
          <w:p w14:paraId="2400832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42B3FF17"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0E4DF2F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5F6F4C4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4BCDB8AD"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nil"/>
            </w:tcBorders>
            <w:shd w:val="clear" w:color="auto" w:fill="auto"/>
            <w:noWrap/>
            <w:vAlign w:val="center"/>
            <w:hideMark/>
          </w:tcPr>
          <w:p w14:paraId="2E3294D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right w:val="nil"/>
            </w:tcBorders>
            <w:shd w:val="clear" w:color="auto" w:fill="auto"/>
            <w:noWrap/>
            <w:vAlign w:val="center"/>
            <w:hideMark/>
          </w:tcPr>
          <w:p w14:paraId="6586088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1" w:type="dxa"/>
            <w:tcBorders>
              <w:top w:val="nil"/>
              <w:left w:val="nil"/>
              <w:bottom w:val="nil"/>
              <w:right w:val="nil"/>
            </w:tcBorders>
            <w:shd w:val="clear" w:color="auto" w:fill="auto"/>
            <w:noWrap/>
            <w:vAlign w:val="center"/>
            <w:hideMark/>
          </w:tcPr>
          <w:p w14:paraId="6202E562"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2426CA7A"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7F32770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4E0DE13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05853347"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16CC27CB" w14:textId="77777777" w:rsidTr="00416D9D">
        <w:trPr>
          <w:gridAfter w:val="1"/>
          <w:wAfter w:w="150" w:type="dxa"/>
          <w:trHeight w:val="227"/>
        </w:trPr>
        <w:tc>
          <w:tcPr>
            <w:tcW w:w="1851" w:type="dxa"/>
            <w:tcBorders>
              <w:top w:val="nil"/>
              <w:left w:val="nil"/>
              <w:bottom w:val="nil"/>
              <w:right w:val="nil"/>
            </w:tcBorders>
            <w:shd w:val="clear" w:color="auto" w:fill="auto"/>
            <w:noWrap/>
            <w:vAlign w:val="center"/>
            <w:hideMark/>
          </w:tcPr>
          <w:p w14:paraId="23B1E37D" w14:textId="77777777" w:rsidR="00416D9D" w:rsidRPr="008D4557" w:rsidRDefault="00416D9D" w:rsidP="00416D9D">
            <w:pPr>
              <w:spacing w:after="0" w:line="240" w:lineRule="auto"/>
              <w:jc w:val="right"/>
              <w:rPr>
                <w:rFonts w:ascii="Arial" w:eastAsia="Times New Roman" w:hAnsi="Arial" w:cs="Arial"/>
                <w:bCs/>
                <w:color w:val="000000"/>
                <w:sz w:val="20"/>
                <w:szCs w:val="20"/>
                <w:lang w:val="es-ES" w:eastAsia="es-ES"/>
              </w:rPr>
            </w:pPr>
            <w:r w:rsidRPr="008D4557">
              <w:rPr>
                <w:rFonts w:ascii="Arial" w:eastAsia="Times New Roman" w:hAnsi="Arial" w:cs="Arial"/>
                <w:bCs/>
                <w:color w:val="000000"/>
                <w:sz w:val="20"/>
                <w:szCs w:val="20"/>
                <w:lang w:val="es-ES" w:eastAsia="es-ES"/>
              </w:rPr>
              <w:t>N</w:t>
            </w:r>
          </w:p>
        </w:tc>
        <w:tc>
          <w:tcPr>
            <w:tcW w:w="180" w:type="dxa"/>
            <w:tcBorders>
              <w:top w:val="nil"/>
              <w:left w:val="nil"/>
              <w:bottom w:val="nil"/>
              <w:right w:val="nil"/>
            </w:tcBorders>
            <w:shd w:val="clear" w:color="auto" w:fill="auto"/>
            <w:noWrap/>
            <w:vAlign w:val="center"/>
            <w:hideMark/>
          </w:tcPr>
          <w:p w14:paraId="7A70FE89"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p>
        </w:tc>
        <w:tc>
          <w:tcPr>
            <w:tcW w:w="180" w:type="dxa"/>
            <w:tcBorders>
              <w:top w:val="nil"/>
              <w:left w:val="single" w:sz="4" w:space="0" w:color="auto"/>
              <w:bottom w:val="nil"/>
              <w:right w:val="nil"/>
            </w:tcBorders>
            <w:shd w:val="clear" w:color="auto" w:fill="auto"/>
            <w:noWrap/>
            <w:vAlign w:val="center"/>
            <w:hideMark/>
          </w:tcPr>
          <w:p w14:paraId="5BE1BC96"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nil"/>
              <w:right w:val="nil"/>
            </w:tcBorders>
            <w:shd w:val="clear" w:color="auto" w:fill="auto"/>
            <w:noWrap/>
            <w:vAlign w:val="center"/>
            <w:hideMark/>
          </w:tcPr>
          <w:p w14:paraId="7E0CB93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191,351</w:t>
            </w:r>
          </w:p>
        </w:tc>
        <w:tc>
          <w:tcPr>
            <w:tcW w:w="671" w:type="dxa"/>
            <w:tcBorders>
              <w:top w:val="nil"/>
              <w:left w:val="nil"/>
              <w:bottom w:val="nil"/>
              <w:right w:val="nil"/>
            </w:tcBorders>
            <w:shd w:val="clear" w:color="auto" w:fill="auto"/>
            <w:noWrap/>
            <w:vAlign w:val="center"/>
            <w:hideMark/>
          </w:tcPr>
          <w:p w14:paraId="492A039D"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74,560</w:t>
            </w:r>
          </w:p>
        </w:tc>
        <w:tc>
          <w:tcPr>
            <w:tcW w:w="514" w:type="dxa"/>
            <w:tcBorders>
              <w:top w:val="nil"/>
              <w:left w:val="nil"/>
              <w:bottom w:val="nil"/>
              <w:right w:val="nil"/>
            </w:tcBorders>
            <w:shd w:val="clear" w:color="auto" w:fill="auto"/>
            <w:noWrap/>
            <w:vAlign w:val="center"/>
            <w:hideMark/>
          </w:tcPr>
          <w:p w14:paraId="6BD9847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514" w:type="dxa"/>
            <w:tcBorders>
              <w:top w:val="nil"/>
              <w:left w:val="nil"/>
              <w:bottom w:val="nil"/>
              <w:right w:val="nil"/>
            </w:tcBorders>
            <w:shd w:val="clear" w:color="auto" w:fill="auto"/>
            <w:noWrap/>
            <w:vAlign w:val="center"/>
            <w:hideMark/>
          </w:tcPr>
          <w:p w14:paraId="12BB885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3F69898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single" w:sz="4" w:space="0" w:color="auto"/>
            </w:tcBorders>
            <w:shd w:val="clear" w:color="auto" w:fill="auto"/>
            <w:noWrap/>
            <w:vAlign w:val="center"/>
            <w:hideMark/>
          </w:tcPr>
          <w:p w14:paraId="4ECDF4C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4E34765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156,393</w:t>
            </w:r>
          </w:p>
        </w:tc>
        <w:tc>
          <w:tcPr>
            <w:tcW w:w="671" w:type="dxa"/>
            <w:tcBorders>
              <w:top w:val="nil"/>
              <w:left w:val="nil"/>
              <w:bottom w:val="nil"/>
              <w:right w:val="nil"/>
            </w:tcBorders>
            <w:shd w:val="clear" w:color="auto" w:fill="auto"/>
            <w:noWrap/>
            <w:vAlign w:val="center"/>
            <w:hideMark/>
          </w:tcPr>
          <w:p w14:paraId="4DACF811"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61,698</w:t>
            </w:r>
          </w:p>
        </w:tc>
        <w:tc>
          <w:tcPr>
            <w:tcW w:w="514" w:type="dxa"/>
            <w:tcBorders>
              <w:top w:val="nil"/>
              <w:left w:val="nil"/>
              <w:bottom w:val="nil"/>
              <w:right w:val="nil"/>
            </w:tcBorders>
            <w:shd w:val="clear" w:color="auto" w:fill="auto"/>
            <w:noWrap/>
            <w:vAlign w:val="center"/>
            <w:hideMark/>
          </w:tcPr>
          <w:p w14:paraId="7FB585CE"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17" w:type="dxa"/>
            <w:tcBorders>
              <w:top w:val="nil"/>
              <w:left w:val="nil"/>
              <w:bottom w:val="nil"/>
              <w:right w:val="nil"/>
            </w:tcBorders>
            <w:shd w:val="clear" w:color="auto" w:fill="auto"/>
            <w:noWrap/>
            <w:vAlign w:val="center"/>
            <w:hideMark/>
          </w:tcPr>
          <w:p w14:paraId="71DB23A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tcBorders>
              <w:top w:val="nil"/>
              <w:left w:val="nil"/>
              <w:bottom w:val="nil"/>
              <w:right w:val="nil"/>
            </w:tcBorders>
            <w:shd w:val="clear" w:color="auto" w:fill="auto"/>
            <w:noWrap/>
            <w:vAlign w:val="center"/>
            <w:hideMark/>
          </w:tcPr>
          <w:p w14:paraId="7EF476CA"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tcBorders>
              <w:top w:val="nil"/>
              <w:left w:val="nil"/>
              <w:bottom w:val="nil"/>
              <w:right w:val="single" w:sz="4" w:space="0" w:color="auto"/>
            </w:tcBorders>
            <w:shd w:val="clear" w:color="auto" w:fill="auto"/>
            <w:noWrap/>
            <w:vAlign w:val="center"/>
            <w:hideMark/>
          </w:tcPr>
          <w:p w14:paraId="037E269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79" w:type="dxa"/>
            <w:tcBorders>
              <w:top w:val="nil"/>
              <w:left w:val="single" w:sz="4" w:space="0" w:color="auto"/>
              <w:bottom w:val="nil"/>
              <w:right w:val="nil"/>
            </w:tcBorders>
            <w:shd w:val="clear" w:color="auto" w:fill="auto"/>
            <w:noWrap/>
            <w:vAlign w:val="center"/>
            <w:hideMark/>
          </w:tcPr>
          <w:p w14:paraId="199AFE1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156,393</w:t>
            </w:r>
          </w:p>
        </w:tc>
        <w:tc>
          <w:tcPr>
            <w:tcW w:w="671" w:type="dxa"/>
            <w:tcBorders>
              <w:top w:val="nil"/>
              <w:left w:val="nil"/>
              <w:bottom w:val="nil"/>
              <w:right w:val="nil"/>
            </w:tcBorders>
            <w:shd w:val="clear" w:color="auto" w:fill="auto"/>
            <w:noWrap/>
            <w:vAlign w:val="center"/>
            <w:hideMark/>
          </w:tcPr>
          <w:p w14:paraId="6A11A72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7,530</w:t>
            </w:r>
          </w:p>
        </w:tc>
        <w:tc>
          <w:tcPr>
            <w:tcW w:w="514" w:type="dxa"/>
            <w:tcBorders>
              <w:top w:val="nil"/>
              <w:left w:val="nil"/>
              <w:bottom w:val="nil"/>
              <w:right w:val="nil"/>
            </w:tcBorders>
            <w:shd w:val="clear" w:color="auto" w:fill="auto"/>
            <w:noWrap/>
            <w:vAlign w:val="center"/>
            <w:hideMark/>
          </w:tcPr>
          <w:p w14:paraId="42460F88"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680" w:type="dxa"/>
            <w:tcBorders>
              <w:top w:val="nil"/>
              <w:left w:val="nil"/>
              <w:bottom w:val="nil"/>
              <w:right w:val="nil"/>
            </w:tcBorders>
            <w:shd w:val="clear" w:color="auto" w:fill="auto"/>
            <w:noWrap/>
            <w:vAlign w:val="center"/>
            <w:hideMark/>
          </w:tcPr>
          <w:p w14:paraId="14CEAD2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c>
          <w:tcPr>
            <w:tcW w:w="907" w:type="dxa"/>
            <w:gridSpan w:val="2"/>
            <w:tcBorders>
              <w:top w:val="nil"/>
              <w:left w:val="nil"/>
              <w:bottom w:val="nil"/>
              <w:right w:val="nil"/>
            </w:tcBorders>
            <w:shd w:val="clear" w:color="auto" w:fill="auto"/>
            <w:noWrap/>
            <w:vAlign w:val="center"/>
            <w:hideMark/>
          </w:tcPr>
          <w:p w14:paraId="57D45A7F"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p>
        </w:tc>
        <w:tc>
          <w:tcPr>
            <w:tcW w:w="415" w:type="dxa"/>
            <w:gridSpan w:val="2"/>
            <w:tcBorders>
              <w:top w:val="nil"/>
              <w:left w:val="nil"/>
              <w:bottom w:val="nil"/>
              <w:right w:val="nil"/>
            </w:tcBorders>
            <w:shd w:val="clear" w:color="auto" w:fill="auto"/>
            <w:noWrap/>
            <w:vAlign w:val="center"/>
            <w:hideMark/>
          </w:tcPr>
          <w:p w14:paraId="08A0AAFC"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p>
        </w:tc>
      </w:tr>
      <w:tr w:rsidR="008D4557" w:rsidRPr="008D4557" w14:paraId="20DA2DB2" w14:textId="77777777" w:rsidTr="00416D9D">
        <w:trPr>
          <w:gridAfter w:val="1"/>
          <w:wAfter w:w="150" w:type="dxa"/>
          <w:trHeight w:val="227"/>
        </w:trPr>
        <w:tc>
          <w:tcPr>
            <w:tcW w:w="1851" w:type="dxa"/>
            <w:tcBorders>
              <w:top w:val="nil"/>
              <w:left w:val="nil"/>
              <w:bottom w:val="double" w:sz="6" w:space="0" w:color="auto"/>
              <w:right w:val="nil"/>
            </w:tcBorders>
            <w:shd w:val="clear" w:color="auto" w:fill="auto"/>
            <w:noWrap/>
            <w:vAlign w:val="center"/>
            <w:hideMark/>
          </w:tcPr>
          <w:p w14:paraId="311F4A99"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180" w:type="dxa"/>
            <w:tcBorders>
              <w:top w:val="nil"/>
              <w:left w:val="nil"/>
              <w:bottom w:val="double" w:sz="6" w:space="0" w:color="auto"/>
              <w:right w:val="nil"/>
            </w:tcBorders>
            <w:shd w:val="clear" w:color="auto" w:fill="auto"/>
            <w:noWrap/>
            <w:vAlign w:val="center"/>
            <w:hideMark/>
          </w:tcPr>
          <w:p w14:paraId="187D9DBC"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180" w:type="dxa"/>
            <w:tcBorders>
              <w:top w:val="nil"/>
              <w:left w:val="single" w:sz="4" w:space="0" w:color="auto"/>
              <w:bottom w:val="double" w:sz="6" w:space="0" w:color="auto"/>
              <w:right w:val="nil"/>
            </w:tcBorders>
            <w:shd w:val="clear" w:color="auto" w:fill="auto"/>
            <w:noWrap/>
            <w:vAlign w:val="center"/>
            <w:hideMark/>
          </w:tcPr>
          <w:p w14:paraId="2618FA15" w14:textId="77777777" w:rsidR="00416D9D" w:rsidRPr="008D4557" w:rsidRDefault="00416D9D" w:rsidP="00416D9D">
            <w:pPr>
              <w:spacing w:after="0" w:line="240" w:lineRule="auto"/>
              <w:jc w:val="right"/>
              <w:rPr>
                <w:rFonts w:ascii="Arial" w:eastAsia="Times New Roman" w:hAnsi="Arial" w:cs="Arial"/>
                <w:color w:val="000000"/>
                <w:sz w:val="20"/>
                <w:szCs w:val="20"/>
                <w:lang w:val="es-ES" w:eastAsia="es-ES"/>
              </w:rPr>
            </w:pPr>
            <w:r w:rsidRPr="008D4557">
              <w:rPr>
                <w:rFonts w:ascii="Arial" w:eastAsia="Times New Roman" w:hAnsi="Arial" w:cs="Arial"/>
                <w:color w:val="000000"/>
                <w:sz w:val="20"/>
                <w:szCs w:val="20"/>
                <w:lang w:val="es-ES" w:eastAsia="es-ES"/>
              </w:rPr>
              <w:t> </w:t>
            </w:r>
          </w:p>
        </w:tc>
        <w:tc>
          <w:tcPr>
            <w:tcW w:w="679" w:type="dxa"/>
            <w:tcBorders>
              <w:top w:val="nil"/>
              <w:left w:val="nil"/>
              <w:bottom w:val="double" w:sz="6" w:space="0" w:color="auto"/>
              <w:right w:val="nil"/>
            </w:tcBorders>
            <w:shd w:val="clear" w:color="auto" w:fill="auto"/>
            <w:noWrap/>
            <w:vAlign w:val="center"/>
            <w:hideMark/>
          </w:tcPr>
          <w:p w14:paraId="273EC7B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1" w:type="dxa"/>
            <w:tcBorders>
              <w:top w:val="nil"/>
              <w:left w:val="nil"/>
              <w:bottom w:val="double" w:sz="6" w:space="0" w:color="auto"/>
              <w:right w:val="nil"/>
            </w:tcBorders>
            <w:shd w:val="clear" w:color="auto" w:fill="auto"/>
            <w:noWrap/>
            <w:vAlign w:val="center"/>
            <w:hideMark/>
          </w:tcPr>
          <w:p w14:paraId="2E810B1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514" w:type="dxa"/>
            <w:tcBorders>
              <w:top w:val="nil"/>
              <w:left w:val="nil"/>
              <w:bottom w:val="double" w:sz="6" w:space="0" w:color="auto"/>
              <w:right w:val="nil"/>
            </w:tcBorders>
            <w:shd w:val="clear" w:color="auto" w:fill="auto"/>
            <w:noWrap/>
            <w:vAlign w:val="center"/>
            <w:hideMark/>
          </w:tcPr>
          <w:p w14:paraId="2792D64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514" w:type="dxa"/>
            <w:tcBorders>
              <w:top w:val="nil"/>
              <w:left w:val="nil"/>
              <w:bottom w:val="double" w:sz="6" w:space="0" w:color="auto"/>
              <w:right w:val="nil"/>
            </w:tcBorders>
            <w:shd w:val="clear" w:color="auto" w:fill="auto"/>
            <w:noWrap/>
            <w:vAlign w:val="center"/>
            <w:hideMark/>
          </w:tcPr>
          <w:p w14:paraId="47345896"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907" w:type="dxa"/>
            <w:tcBorders>
              <w:top w:val="nil"/>
              <w:left w:val="nil"/>
              <w:bottom w:val="double" w:sz="6" w:space="0" w:color="auto"/>
              <w:right w:val="nil"/>
            </w:tcBorders>
            <w:shd w:val="clear" w:color="auto" w:fill="auto"/>
            <w:noWrap/>
            <w:vAlign w:val="center"/>
            <w:hideMark/>
          </w:tcPr>
          <w:p w14:paraId="3E373BB3"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 </w:t>
            </w:r>
          </w:p>
        </w:tc>
        <w:tc>
          <w:tcPr>
            <w:tcW w:w="415" w:type="dxa"/>
            <w:tcBorders>
              <w:top w:val="nil"/>
              <w:left w:val="nil"/>
              <w:bottom w:val="double" w:sz="6" w:space="0" w:color="auto"/>
              <w:right w:val="nil"/>
            </w:tcBorders>
            <w:shd w:val="clear" w:color="auto" w:fill="auto"/>
            <w:noWrap/>
            <w:vAlign w:val="center"/>
            <w:hideMark/>
          </w:tcPr>
          <w:p w14:paraId="67FA074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9" w:type="dxa"/>
            <w:tcBorders>
              <w:top w:val="nil"/>
              <w:left w:val="single" w:sz="4" w:space="0" w:color="auto"/>
              <w:bottom w:val="double" w:sz="6" w:space="0" w:color="auto"/>
              <w:right w:val="nil"/>
            </w:tcBorders>
            <w:shd w:val="clear" w:color="auto" w:fill="auto"/>
            <w:noWrap/>
            <w:vAlign w:val="center"/>
            <w:hideMark/>
          </w:tcPr>
          <w:p w14:paraId="7DF568E2"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1" w:type="dxa"/>
            <w:tcBorders>
              <w:top w:val="nil"/>
              <w:left w:val="nil"/>
              <w:bottom w:val="double" w:sz="6" w:space="0" w:color="auto"/>
              <w:right w:val="nil"/>
            </w:tcBorders>
            <w:shd w:val="clear" w:color="auto" w:fill="auto"/>
            <w:noWrap/>
            <w:vAlign w:val="center"/>
            <w:hideMark/>
          </w:tcPr>
          <w:p w14:paraId="4AC5943F"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514" w:type="dxa"/>
            <w:tcBorders>
              <w:top w:val="nil"/>
              <w:left w:val="nil"/>
              <w:bottom w:val="double" w:sz="6" w:space="0" w:color="auto"/>
              <w:right w:val="nil"/>
            </w:tcBorders>
            <w:shd w:val="clear" w:color="auto" w:fill="auto"/>
            <w:noWrap/>
            <w:vAlign w:val="center"/>
            <w:hideMark/>
          </w:tcPr>
          <w:p w14:paraId="18D50F54"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17" w:type="dxa"/>
            <w:tcBorders>
              <w:top w:val="nil"/>
              <w:left w:val="nil"/>
              <w:bottom w:val="double" w:sz="6" w:space="0" w:color="auto"/>
              <w:right w:val="nil"/>
            </w:tcBorders>
            <w:shd w:val="clear" w:color="auto" w:fill="auto"/>
            <w:noWrap/>
            <w:vAlign w:val="center"/>
            <w:hideMark/>
          </w:tcPr>
          <w:p w14:paraId="40B9C635"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907" w:type="dxa"/>
            <w:tcBorders>
              <w:top w:val="nil"/>
              <w:left w:val="nil"/>
              <w:bottom w:val="double" w:sz="6" w:space="0" w:color="auto"/>
              <w:right w:val="nil"/>
            </w:tcBorders>
            <w:shd w:val="clear" w:color="auto" w:fill="auto"/>
            <w:noWrap/>
            <w:vAlign w:val="center"/>
            <w:hideMark/>
          </w:tcPr>
          <w:p w14:paraId="31F5BE0A"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 </w:t>
            </w:r>
          </w:p>
        </w:tc>
        <w:tc>
          <w:tcPr>
            <w:tcW w:w="415" w:type="dxa"/>
            <w:tcBorders>
              <w:top w:val="nil"/>
              <w:left w:val="nil"/>
              <w:bottom w:val="double" w:sz="6" w:space="0" w:color="auto"/>
              <w:right w:val="nil"/>
            </w:tcBorders>
            <w:shd w:val="clear" w:color="auto" w:fill="auto"/>
            <w:noWrap/>
            <w:vAlign w:val="center"/>
            <w:hideMark/>
          </w:tcPr>
          <w:p w14:paraId="3B8856D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9" w:type="dxa"/>
            <w:tcBorders>
              <w:top w:val="nil"/>
              <w:left w:val="single" w:sz="4" w:space="0" w:color="auto"/>
              <w:bottom w:val="double" w:sz="6" w:space="0" w:color="auto"/>
              <w:right w:val="nil"/>
            </w:tcBorders>
            <w:shd w:val="clear" w:color="auto" w:fill="auto"/>
            <w:noWrap/>
            <w:vAlign w:val="center"/>
            <w:hideMark/>
          </w:tcPr>
          <w:p w14:paraId="7878E580"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71" w:type="dxa"/>
            <w:tcBorders>
              <w:top w:val="nil"/>
              <w:left w:val="nil"/>
              <w:bottom w:val="double" w:sz="6" w:space="0" w:color="auto"/>
              <w:right w:val="nil"/>
            </w:tcBorders>
            <w:shd w:val="clear" w:color="auto" w:fill="auto"/>
            <w:noWrap/>
            <w:vAlign w:val="center"/>
            <w:hideMark/>
          </w:tcPr>
          <w:p w14:paraId="5109467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514" w:type="dxa"/>
            <w:tcBorders>
              <w:top w:val="nil"/>
              <w:left w:val="nil"/>
              <w:bottom w:val="double" w:sz="6" w:space="0" w:color="auto"/>
              <w:right w:val="nil"/>
            </w:tcBorders>
            <w:shd w:val="clear" w:color="auto" w:fill="auto"/>
            <w:noWrap/>
            <w:vAlign w:val="center"/>
            <w:hideMark/>
          </w:tcPr>
          <w:p w14:paraId="6BE099C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680" w:type="dxa"/>
            <w:tcBorders>
              <w:top w:val="nil"/>
              <w:left w:val="nil"/>
              <w:bottom w:val="double" w:sz="6" w:space="0" w:color="auto"/>
              <w:right w:val="nil"/>
            </w:tcBorders>
            <w:shd w:val="clear" w:color="auto" w:fill="auto"/>
            <w:noWrap/>
            <w:vAlign w:val="center"/>
            <w:hideMark/>
          </w:tcPr>
          <w:p w14:paraId="2278EFCB"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c>
          <w:tcPr>
            <w:tcW w:w="907" w:type="dxa"/>
            <w:gridSpan w:val="2"/>
            <w:tcBorders>
              <w:top w:val="nil"/>
              <w:left w:val="nil"/>
              <w:bottom w:val="double" w:sz="6" w:space="0" w:color="auto"/>
              <w:right w:val="nil"/>
            </w:tcBorders>
            <w:shd w:val="clear" w:color="auto" w:fill="auto"/>
            <w:noWrap/>
            <w:vAlign w:val="center"/>
            <w:hideMark/>
          </w:tcPr>
          <w:p w14:paraId="1493F9B8" w14:textId="77777777" w:rsidR="00416D9D" w:rsidRPr="008D4557" w:rsidRDefault="00416D9D" w:rsidP="00416D9D">
            <w:pPr>
              <w:spacing w:after="0" w:line="240" w:lineRule="auto"/>
              <w:jc w:val="right"/>
              <w:rPr>
                <w:rFonts w:ascii="Times New Roman" w:eastAsia="Times New Roman" w:hAnsi="Times New Roman" w:cs="Times New Roman"/>
                <w:i/>
                <w:iCs/>
                <w:color w:val="000000"/>
                <w:sz w:val="20"/>
                <w:szCs w:val="20"/>
                <w:lang w:val="es-ES" w:eastAsia="es-ES"/>
              </w:rPr>
            </w:pPr>
            <w:r w:rsidRPr="008D4557">
              <w:rPr>
                <w:rFonts w:ascii="Times New Roman" w:eastAsia="Times New Roman" w:hAnsi="Times New Roman" w:cs="Times New Roman"/>
                <w:i/>
                <w:iCs/>
                <w:color w:val="000000"/>
                <w:sz w:val="20"/>
                <w:szCs w:val="20"/>
                <w:lang w:val="es-ES" w:eastAsia="es-ES"/>
              </w:rPr>
              <w:t> </w:t>
            </w:r>
          </w:p>
        </w:tc>
        <w:tc>
          <w:tcPr>
            <w:tcW w:w="415" w:type="dxa"/>
            <w:gridSpan w:val="2"/>
            <w:tcBorders>
              <w:top w:val="nil"/>
              <w:left w:val="nil"/>
              <w:bottom w:val="double" w:sz="6" w:space="0" w:color="auto"/>
              <w:right w:val="nil"/>
            </w:tcBorders>
            <w:shd w:val="clear" w:color="auto" w:fill="auto"/>
            <w:noWrap/>
            <w:vAlign w:val="center"/>
            <w:hideMark/>
          </w:tcPr>
          <w:p w14:paraId="0BDFB973" w14:textId="77777777" w:rsidR="00416D9D" w:rsidRPr="008D4557" w:rsidRDefault="00416D9D" w:rsidP="00416D9D">
            <w:pPr>
              <w:spacing w:after="0" w:line="240" w:lineRule="auto"/>
              <w:jc w:val="right"/>
              <w:rPr>
                <w:rFonts w:ascii="Times New Roman" w:eastAsia="Times New Roman" w:hAnsi="Times New Roman" w:cs="Times New Roman"/>
                <w:color w:val="000000"/>
                <w:sz w:val="20"/>
                <w:szCs w:val="20"/>
                <w:lang w:val="es-ES" w:eastAsia="es-ES"/>
              </w:rPr>
            </w:pPr>
            <w:r w:rsidRPr="008D4557">
              <w:rPr>
                <w:rFonts w:ascii="Times New Roman" w:eastAsia="Times New Roman" w:hAnsi="Times New Roman" w:cs="Times New Roman"/>
                <w:color w:val="000000"/>
                <w:sz w:val="20"/>
                <w:szCs w:val="20"/>
                <w:lang w:val="es-ES" w:eastAsia="es-ES"/>
              </w:rPr>
              <w:t> </w:t>
            </w:r>
          </w:p>
        </w:tc>
      </w:tr>
    </w:tbl>
    <w:p w14:paraId="6D17D2FD" w14:textId="77777777" w:rsidR="00416D9D" w:rsidRPr="008D4557" w:rsidRDefault="00416D9D" w:rsidP="008D4557">
      <w:pPr>
        <w:spacing w:after="0" w:line="240" w:lineRule="auto"/>
        <w:rPr>
          <w:rFonts w:ascii="Arial" w:eastAsia="Times New Roman" w:hAnsi="Arial" w:cs="Arial"/>
          <w:color w:val="000000"/>
          <w:sz w:val="16"/>
          <w:szCs w:val="16"/>
          <w:lang w:eastAsia="es-ES"/>
        </w:rPr>
      </w:pPr>
    </w:p>
    <w:p w14:paraId="46061F22" w14:textId="77777777" w:rsidR="00416D9D" w:rsidRDefault="00704860" w:rsidP="00704860">
      <w:pPr>
        <w:spacing w:after="0" w:line="240" w:lineRule="auto"/>
        <w:rPr>
          <w:rFonts w:ascii="Arial" w:hAnsi="Arial" w:cs="Arial"/>
          <w:sz w:val="16"/>
          <w:szCs w:val="16"/>
        </w:rPr>
      </w:pPr>
      <w:r>
        <w:rPr>
          <w:rFonts w:ascii="Arial" w:eastAsia="Times New Roman" w:hAnsi="Arial" w:cs="Arial"/>
          <w:color w:val="000000"/>
          <w:sz w:val="16"/>
          <w:szCs w:val="16"/>
          <w:lang w:eastAsia="es-ES"/>
        </w:rPr>
        <w:t xml:space="preserve">Note: </w:t>
      </w:r>
      <w:r w:rsidR="00416D9D" w:rsidRPr="008D4557">
        <w:rPr>
          <w:rFonts w:ascii="Arial" w:eastAsia="Times New Roman" w:hAnsi="Arial" w:cs="Arial"/>
          <w:color w:val="000000"/>
          <w:sz w:val="16"/>
          <w:szCs w:val="16"/>
          <w:lang w:eastAsia="es-ES"/>
        </w:rPr>
        <w:t>Signification level:  *** p &lt; 0.001; ** p &lt; 0.01; * p &lt; 0.05.  HR: hazard ratio.</w:t>
      </w:r>
      <w:r>
        <w:rPr>
          <w:rFonts w:ascii="Arial" w:eastAsia="Times New Roman" w:hAnsi="Arial" w:cs="Arial"/>
          <w:color w:val="000000"/>
          <w:sz w:val="16"/>
          <w:szCs w:val="16"/>
          <w:lang w:eastAsia="es-ES"/>
        </w:rPr>
        <w:t xml:space="preserve"> </w:t>
      </w:r>
      <w:r w:rsidR="00416D9D" w:rsidRPr="008D4557">
        <w:rPr>
          <w:rFonts w:ascii="Arial" w:hAnsi="Arial" w:cs="Arial"/>
          <w:sz w:val="16"/>
          <w:szCs w:val="16"/>
        </w:rPr>
        <w:t xml:space="preserve">Coefficients calculated with “survival” R </w:t>
      </w:r>
      <w:r>
        <w:rPr>
          <w:rFonts w:ascii="Arial" w:hAnsi="Arial" w:cs="Arial"/>
          <w:sz w:val="16"/>
          <w:szCs w:val="16"/>
        </w:rPr>
        <w:t>package, “</w:t>
      </w:r>
      <w:proofErr w:type="spellStart"/>
      <w:r>
        <w:rPr>
          <w:rFonts w:ascii="Arial" w:hAnsi="Arial" w:cs="Arial"/>
          <w:sz w:val="16"/>
          <w:szCs w:val="16"/>
        </w:rPr>
        <w:t>coxph</w:t>
      </w:r>
      <w:proofErr w:type="spellEnd"/>
      <w:r>
        <w:rPr>
          <w:rFonts w:ascii="Arial" w:hAnsi="Arial" w:cs="Arial"/>
          <w:sz w:val="16"/>
          <w:szCs w:val="16"/>
        </w:rPr>
        <w:t xml:space="preserve">” function. </w:t>
      </w:r>
    </w:p>
    <w:p w14:paraId="73E5327E" w14:textId="77777777" w:rsidR="00704860" w:rsidRPr="00704860" w:rsidRDefault="00704860" w:rsidP="00704860">
      <w:pPr>
        <w:spacing w:after="0" w:line="240" w:lineRule="auto"/>
        <w:rPr>
          <w:rFonts w:ascii="Arial" w:eastAsia="Times New Roman" w:hAnsi="Arial" w:cs="Arial"/>
          <w:color w:val="000000"/>
          <w:sz w:val="16"/>
          <w:szCs w:val="16"/>
          <w:lang w:eastAsia="es-ES"/>
        </w:rPr>
        <w:sectPr w:rsidR="00704860" w:rsidRPr="00704860" w:rsidSect="00416D9D">
          <w:pgSz w:w="16838" w:h="11906" w:orient="landscape"/>
          <w:pgMar w:top="1701" w:right="1418" w:bottom="1701" w:left="1418" w:header="709" w:footer="709" w:gutter="0"/>
          <w:cols w:space="708"/>
          <w:docGrid w:linePitch="360"/>
        </w:sectPr>
      </w:pPr>
      <w:r>
        <w:rPr>
          <w:rFonts w:ascii="Arial" w:hAnsi="Arial" w:cs="Arial"/>
          <w:sz w:val="16"/>
          <w:szCs w:val="16"/>
        </w:rPr>
        <w:t>Source:  Own calculation based on EU-SILC, Panel Data, Period 2004-2014</w:t>
      </w:r>
    </w:p>
    <w:p w14:paraId="3ACEEF21" w14:textId="77777777" w:rsidR="00416D9D" w:rsidRDefault="00416D9D" w:rsidP="00416D9D">
      <w:pPr>
        <w:pStyle w:val="Titre3"/>
        <w:spacing w:before="240" w:after="240" w:line="480" w:lineRule="auto"/>
        <w:rPr>
          <w:rFonts w:ascii="Times New Roman" w:hAnsi="Times New Roman" w:cs="Times New Roman"/>
        </w:rPr>
      </w:pPr>
      <w:r>
        <w:rPr>
          <w:rFonts w:ascii="Times New Roman" w:hAnsi="Times New Roman" w:cs="Times New Roman"/>
        </w:rPr>
        <w:lastRenderedPageBreak/>
        <w:t>BIBLIOGRAPHY</w:t>
      </w:r>
    </w:p>
    <w:p w14:paraId="2FB8996F" w14:textId="77777777" w:rsidR="00446BC0" w:rsidRPr="00446BC0" w:rsidRDefault="00416D9D"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446BC0" w:rsidRPr="00446BC0">
        <w:rPr>
          <w:rFonts w:ascii="Times New Roman" w:hAnsi="Times New Roman" w:cs="Times New Roman"/>
          <w:noProof/>
          <w:szCs w:val="24"/>
        </w:rPr>
        <w:t xml:space="preserve">1. </w:t>
      </w:r>
      <w:r w:rsidR="00446BC0" w:rsidRPr="00446BC0">
        <w:rPr>
          <w:rFonts w:ascii="Times New Roman" w:hAnsi="Times New Roman" w:cs="Times New Roman"/>
          <w:noProof/>
          <w:szCs w:val="24"/>
        </w:rPr>
        <w:tab/>
        <w:t xml:space="preserve">Jäntti M, Törmälehto V-M, Marlier E. </w:t>
      </w:r>
      <w:r w:rsidR="00446BC0" w:rsidRPr="00446BC0">
        <w:rPr>
          <w:rFonts w:ascii="Times New Roman" w:hAnsi="Times New Roman" w:cs="Times New Roman"/>
          <w:i/>
          <w:iCs/>
          <w:noProof/>
          <w:szCs w:val="24"/>
        </w:rPr>
        <w:t>The Use of Registers in the Context of EU–SILC: Challenges and Opportunities</w:t>
      </w:r>
      <w:r w:rsidR="00446BC0" w:rsidRPr="00446BC0">
        <w:rPr>
          <w:rFonts w:ascii="Times New Roman" w:hAnsi="Times New Roman" w:cs="Times New Roman"/>
          <w:noProof/>
          <w:szCs w:val="24"/>
        </w:rPr>
        <w:t>. (Eurostat, ed.).; 2013. doi:10.2785/4549</w:t>
      </w:r>
    </w:p>
    <w:p w14:paraId="57E305FF"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2. </w:t>
      </w:r>
      <w:r w:rsidRPr="00446BC0">
        <w:rPr>
          <w:rFonts w:ascii="Times New Roman" w:hAnsi="Times New Roman" w:cs="Times New Roman"/>
          <w:noProof/>
          <w:szCs w:val="24"/>
        </w:rPr>
        <w:tab/>
        <w:t xml:space="preserve">Lohmann H. Comparability of EU-SILC survey and register data: The relationship among employment, earnings and poverty. </w:t>
      </w:r>
      <w:r w:rsidRPr="00446BC0">
        <w:rPr>
          <w:rFonts w:ascii="Times New Roman" w:hAnsi="Times New Roman" w:cs="Times New Roman"/>
          <w:i/>
          <w:iCs/>
          <w:noProof/>
          <w:szCs w:val="24"/>
        </w:rPr>
        <w:t>J Eur Soc Policy</w:t>
      </w:r>
      <w:r w:rsidRPr="00446BC0">
        <w:rPr>
          <w:rFonts w:ascii="Times New Roman" w:hAnsi="Times New Roman" w:cs="Times New Roman"/>
          <w:noProof/>
          <w:szCs w:val="24"/>
        </w:rPr>
        <w:t>. 2011;21(1):37-54. doi:10.1177/0958928710385734</w:t>
      </w:r>
    </w:p>
    <w:p w14:paraId="3B69FD33"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3. </w:t>
      </w:r>
      <w:r w:rsidRPr="00446BC0">
        <w:rPr>
          <w:rFonts w:ascii="Times New Roman" w:hAnsi="Times New Roman" w:cs="Times New Roman"/>
          <w:noProof/>
          <w:szCs w:val="24"/>
        </w:rPr>
        <w:tab/>
        <w:t xml:space="preserve">Majer IM, Nusselder WJ, Mackenbach JP, Kunst AE. Socioeconomic inequalities in life and health expectancies around official retirement age in 10 Western-European countries. </w:t>
      </w:r>
      <w:r w:rsidRPr="00446BC0">
        <w:rPr>
          <w:rFonts w:ascii="Times New Roman" w:hAnsi="Times New Roman" w:cs="Times New Roman"/>
          <w:i/>
          <w:iCs/>
          <w:noProof/>
          <w:szCs w:val="24"/>
        </w:rPr>
        <w:t>J Epidemiol Community Heal</w:t>
      </w:r>
      <w:r w:rsidRPr="00446BC0">
        <w:rPr>
          <w:rFonts w:ascii="Times New Roman" w:hAnsi="Times New Roman" w:cs="Times New Roman"/>
          <w:noProof/>
          <w:szCs w:val="24"/>
        </w:rPr>
        <w:t>. 2011;65(11):972-979. doi:10.1136/jech.2010.111492</w:t>
      </w:r>
    </w:p>
    <w:p w14:paraId="6C236724"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4. </w:t>
      </w:r>
      <w:r w:rsidRPr="00446BC0">
        <w:rPr>
          <w:rFonts w:ascii="Times New Roman" w:hAnsi="Times New Roman" w:cs="Times New Roman"/>
          <w:noProof/>
          <w:szCs w:val="24"/>
        </w:rPr>
        <w:tab/>
        <w:t xml:space="preserve">EUROSTAT. </w:t>
      </w:r>
      <w:r w:rsidRPr="00446BC0">
        <w:rPr>
          <w:rFonts w:ascii="Times New Roman" w:hAnsi="Times New Roman" w:cs="Times New Roman"/>
          <w:i/>
          <w:iCs/>
          <w:noProof/>
          <w:szCs w:val="24"/>
        </w:rPr>
        <w:t>Overview of the Implementation of the GALI Question in EU-SILC</w:t>
      </w:r>
      <w:r w:rsidRPr="00446BC0">
        <w:rPr>
          <w:rFonts w:ascii="Times New Roman" w:hAnsi="Times New Roman" w:cs="Times New Roman"/>
          <w:noProof/>
          <w:szCs w:val="24"/>
        </w:rPr>
        <w:t>.; 2016. https://ec.europa.eu/eurostat/cache/metadata/Annexes/hlth_hlye_esms_an2.pdf.</w:t>
      </w:r>
    </w:p>
    <w:p w14:paraId="2538B336"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5. </w:t>
      </w:r>
      <w:r w:rsidRPr="00446BC0">
        <w:rPr>
          <w:rFonts w:ascii="Times New Roman" w:hAnsi="Times New Roman" w:cs="Times New Roman"/>
          <w:noProof/>
          <w:szCs w:val="24"/>
        </w:rPr>
        <w:tab/>
        <w:t xml:space="preserve">Cambois E, Grobon S, Van Oyen H, Robine J-M. Impact of Question Wording on the Measurement of Activity Limitation. </w:t>
      </w:r>
      <w:r w:rsidRPr="00446BC0">
        <w:rPr>
          <w:rFonts w:ascii="Times New Roman" w:hAnsi="Times New Roman" w:cs="Times New Roman"/>
          <w:i/>
          <w:iCs/>
          <w:noProof/>
          <w:szCs w:val="24"/>
        </w:rPr>
        <w:t>J Aging Health</w:t>
      </w:r>
      <w:r w:rsidRPr="00446BC0">
        <w:rPr>
          <w:rFonts w:ascii="Times New Roman" w:hAnsi="Times New Roman" w:cs="Times New Roman"/>
          <w:noProof/>
          <w:szCs w:val="24"/>
        </w:rPr>
        <w:t>. 2016;28(7):1315-1338. doi:10.1177/0898264316656504</w:t>
      </w:r>
    </w:p>
    <w:p w14:paraId="0B3FDE16"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6. </w:t>
      </w:r>
      <w:r w:rsidRPr="00446BC0">
        <w:rPr>
          <w:rFonts w:ascii="Times New Roman" w:hAnsi="Times New Roman" w:cs="Times New Roman"/>
          <w:noProof/>
          <w:szCs w:val="24"/>
        </w:rPr>
        <w:tab/>
        <w:t xml:space="preserve">Van Oyen H, Bogaert P, Yokota RTC, Berger N. Measuring disability: A systematic review of the validity and reliability of the Global Activity Limitations Indicator (GALI). </w:t>
      </w:r>
      <w:r w:rsidRPr="00446BC0">
        <w:rPr>
          <w:rFonts w:ascii="Times New Roman" w:hAnsi="Times New Roman" w:cs="Times New Roman"/>
          <w:i/>
          <w:iCs/>
          <w:noProof/>
          <w:szCs w:val="24"/>
        </w:rPr>
        <w:t>Arch Public Heal</w:t>
      </w:r>
      <w:r w:rsidRPr="00446BC0">
        <w:rPr>
          <w:rFonts w:ascii="Times New Roman" w:hAnsi="Times New Roman" w:cs="Times New Roman"/>
          <w:noProof/>
          <w:szCs w:val="24"/>
        </w:rPr>
        <w:t>. 2018;76(25):1-11. doi:10.1186/s13690-018-0270-8</w:t>
      </w:r>
    </w:p>
    <w:p w14:paraId="2C379FB3"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7. </w:t>
      </w:r>
      <w:r w:rsidRPr="00446BC0">
        <w:rPr>
          <w:rFonts w:ascii="Times New Roman" w:hAnsi="Times New Roman" w:cs="Times New Roman"/>
          <w:noProof/>
          <w:szCs w:val="24"/>
        </w:rPr>
        <w:tab/>
        <w:t xml:space="preserve">van Oyen H, Van der Heyden J, Perenboom R, Jagger C. Monitoring population disability: evaluation of a new Global Activity Limitation Indicator (GALI). </w:t>
      </w:r>
      <w:r w:rsidRPr="00446BC0">
        <w:rPr>
          <w:rFonts w:ascii="Times New Roman" w:hAnsi="Times New Roman" w:cs="Times New Roman"/>
          <w:i/>
          <w:iCs/>
          <w:noProof/>
          <w:szCs w:val="24"/>
        </w:rPr>
        <w:t>Soz Praventivmed</w:t>
      </w:r>
      <w:r w:rsidRPr="00446BC0">
        <w:rPr>
          <w:rFonts w:ascii="Times New Roman" w:hAnsi="Times New Roman" w:cs="Times New Roman"/>
          <w:noProof/>
          <w:szCs w:val="24"/>
        </w:rPr>
        <w:t>. 2006;51(3):153-161. doi:10.1007/s00038-006-0035-y</w:t>
      </w:r>
    </w:p>
    <w:p w14:paraId="6CF66839"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8. </w:t>
      </w:r>
      <w:r w:rsidRPr="00446BC0">
        <w:rPr>
          <w:rFonts w:ascii="Times New Roman" w:hAnsi="Times New Roman" w:cs="Times New Roman"/>
          <w:noProof/>
          <w:szCs w:val="24"/>
        </w:rPr>
        <w:tab/>
        <w:t xml:space="preserve">Berger N, Van der Heyden J, Van Oyen H. The global activity limitation indicator and self-rated health: Two complementary predictors of mortality. </w:t>
      </w:r>
      <w:r w:rsidRPr="00446BC0">
        <w:rPr>
          <w:rFonts w:ascii="Times New Roman" w:hAnsi="Times New Roman" w:cs="Times New Roman"/>
          <w:i/>
          <w:iCs/>
          <w:noProof/>
          <w:szCs w:val="24"/>
        </w:rPr>
        <w:t>Arch Public Heal</w:t>
      </w:r>
      <w:r w:rsidRPr="00446BC0">
        <w:rPr>
          <w:rFonts w:ascii="Times New Roman" w:hAnsi="Times New Roman" w:cs="Times New Roman"/>
          <w:noProof/>
          <w:szCs w:val="24"/>
        </w:rPr>
        <w:t>. 2015;73(1):1-7. doi:10.1186/s13690-015-0073-0</w:t>
      </w:r>
    </w:p>
    <w:p w14:paraId="44093683"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9. </w:t>
      </w:r>
      <w:r w:rsidRPr="00446BC0">
        <w:rPr>
          <w:rFonts w:ascii="Times New Roman" w:hAnsi="Times New Roman" w:cs="Times New Roman"/>
          <w:noProof/>
          <w:szCs w:val="24"/>
        </w:rPr>
        <w:tab/>
        <w:t>Klotz J, Göllner T. Estimating Differential Mortality from EU-SILC Longitudinal Data A Feasibility Study. 2017;(October).</w:t>
      </w:r>
    </w:p>
    <w:p w14:paraId="307D1755"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10. </w:t>
      </w:r>
      <w:r w:rsidRPr="00446BC0">
        <w:rPr>
          <w:rFonts w:ascii="Times New Roman" w:hAnsi="Times New Roman" w:cs="Times New Roman"/>
          <w:noProof/>
          <w:szCs w:val="24"/>
        </w:rPr>
        <w:tab/>
        <w:t xml:space="preserve">Putter H. Tutorial in biostatistics: Competing risks and multi-state models. Analyses using the mstate package. </w:t>
      </w:r>
      <w:r w:rsidRPr="00446BC0">
        <w:rPr>
          <w:rFonts w:ascii="Times New Roman" w:hAnsi="Times New Roman" w:cs="Times New Roman"/>
          <w:i/>
          <w:iCs/>
          <w:noProof/>
          <w:szCs w:val="24"/>
        </w:rPr>
        <w:t>Stat Med</w:t>
      </w:r>
      <w:r w:rsidRPr="00446BC0">
        <w:rPr>
          <w:rFonts w:ascii="Times New Roman" w:hAnsi="Times New Roman" w:cs="Times New Roman"/>
          <w:noProof/>
          <w:szCs w:val="24"/>
        </w:rPr>
        <w:t>. 2018.</w:t>
      </w:r>
    </w:p>
    <w:p w14:paraId="49F4E641"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11. </w:t>
      </w:r>
      <w:r w:rsidRPr="00446BC0">
        <w:rPr>
          <w:rFonts w:ascii="Times New Roman" w:hAnsi="Times New Roman" w:cs="Times New Roman"/>
          <w:noProof/>
          <w:szCs w:val="24"/>
        </w:rPr>
        <w:tab/>
        <w:t xml:space="preserve">Mills M. </w:t>
      </w:r>
      <w:r w:rsidRPr="00446BC0">
        <w:rPr>
          <w:rFonts w:ascii="Times New Roman" w:hAnsi="Times New Roman" w:cs="Times New Roman"/>
          <w:i/>
          <w:iCs/>
          <w:noProof/>
          <w:szCs w:val="24"/>
        </w:rPr>
        <w:t>Introducing Survival and Event History Analysis</w:t>
      </w:r>
      <w:r w:rsidRPr="00446BC0">
        <w:rPr>
          <w:rFonts w:ascii="Times New Roman" w:hAnsi="Times New Roman" w:cs="Times New Roman"/>
          <w:noProof/>
          <w:szCs w:val="24"/>
        </w:rPr>
        <w:t>.; 2011.</w:t>
      </w:r>
    </w:p>
    <w:p w14:paraId="5332254D"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12. </w:t>
      </w:r>
      <w:r w:rsidRPr="00446BC0">
        <w:rPr>
          <w:rFonts w:ascii="Times New Roman" w:hAnsi="Times New Roman" w:cs="Times New Roman"/>
          <w:noProof/>
          <w:szCs w:val="24"/>
        </w:rPr>
        <w:tab/>
        <w:t xml:space="preserve">Allison P. </w:t>
      </w:r>
      <w:r w:rsidRPr="00446BC0">
        <w:rPr>
          <w:rFonts w:ascii="Times New Roman" w:hAnsi="Times New Roman" w:cs="Times New Roman"/>
          <w:i/>
          <w:iCs/>
          <w:noProof/>
          <w:szCs w:val="24"/>
        </w:rPr>
        <w:t>Event History and Survival Analysis (Quantitative Applications in the Social Sciences)</w:t>
      </w:r>
      <w:r w:rsidRPr="00446BC0">
        <w:rPr>
          <w:rFonts w:ascii="Times New Roman" w:hAnsi="Times New Roman" w:cs="Times New Roman"/>
          <w:noProof/>
          <w:szCs w:val="24"/>
        </w:rPr>
        <w:t>.; 2014.</w:t>
      </w:r>
    </w:p>
    <w:p w14:paraId="45CDE512"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13. </w:t>
      </w:r>
      <w:r w:rsidRPr="00446BC0">
        <w:rPr>
          <w:rFonts w:ascii="Times New Roman" w:hAnsi="Times New Roman" w:cs="Times New Roman"/>
          <w:noProof/>
          <w:szCs w:val="24"/>
        </w:rPr>
        <w:tab/>
        <w:t xml:space="preserve">Crowther MJ, Riley RD, Staessen JA, Wang J, Gueyffier F, Lambert PC. Individual patient data meta-analysis of survival data using Poisson regression models. </w:t>
      </w:r>
      <w:r w:rsidRPr="00446BC0">
        <w:rPr>
          <w:rFonts w:ascii="Times New Roman" w:hAnsi="Times New Roman" w:cs="Times New Roman"/>
          <w:i/>
          <w:iCs/>
          <w:noProof/>
          <w:szCs w:val="24"/>
        </w:rPr>
        <w:t>BMC Med Res Methodol</w:t>
      </w:r>
      <w:r w:rsidRPr="00446BC0">
        <w:rPr>
          <w:rFonts w:ascii="Times New Roman" w:hAnsi="Times New Roman" w:cs="Times New Roman"/>
          <w:noProof/>
          <w:szCs w:val="24"/>
        </w:rPr>
        <w:t>. 2012;12. doi:10.1186/1471-2288-12-34</w:t>
      </w:r>
    </w:p>
    <w:p w14:paraId="06D9C52D"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14. </w:t>
      </w:r>
      <w:r w:rsidRPr="00446BC0">
        <w:rPr>
          <w:rFonts w:ascii="Times New Roman" w:hAnsi="Times New Roman" w:cs="Times New Roman"/>
          <w:noProof/>
          <w:szCs w:val="24"/>
        </w:rPr>
        <w:tab/>
        <w:t xml:space="preserve">de Wreede LC, Fiocco M, Putter H. mstate : An R Package for the Analysis of. </w:t>
      </w:r>
      <w:r w:rsidRPr="00446BC0">
        <w:rPr>
          <w:rFonts w:ascii="Times New Roman" w:hAnsi="Times New Roman" w:cs="Times New Roman"/>
          <w:i/>
          <w:iCs/>
          <w:noProof/>
          <w:szCs w:val="24"/>
        </w:rPr>
        <w:t>J Stat Softw</w:t>
      </w:r>
      <w:r w:rsidRPr="00446BC0">
        <w:rPr>
          <w:rFonts w:ascii="Times New Roman" w:hAnsi="Times New Roman" w:cs="Times New Roman"/>
          <w:noProof/>
          <w:szCs w:val="24"/>
        </w:rPr>
        <w:t>. 2011;38(7).</w:t>
      </w:r>
    </w:p>
    <w:p w14:paraId="6B6DF675"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15. </w:t>
      </w:r>
      <w:r w:rsidRPr="00446BC0">
        <w:rPr>
          <w:rFonts w:ascii="Times New Roman" w:hAnsi="Times New Roman" w:cs="Times New Roman"/>
          <w:noProof/>
          <w:szCs w:val="24"/>
        </w:rPr>
        <w:tab/>
        <w:t>Putter H. Special Issue about Competing Risks and Multi-State Models. 2011;38(1):1-4.</w:t>
      </w:r>
    </w:p>
    <w:p w14:paraId="7494DFA9"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16. </w:t>
      </w:r>
      <w:r w:rsidRPr="00446BC0">
        <w:rPr>
          <w:rFonts w:ascii="Times New Roman" w:hAnsi="Times New Roman" w:cs="Times New Roman"/>
          <w:noProof/>
          <w:szCs w:val="24"/>
        </w:rPr>
        <w:tab/>
        <w:t>Willekens F. Multistate Analysis of Life Histories with R. 2014:81-107. doi:10.1007/978-3-319-08383-4</w:t>
      </w:r>
    </w:p>
    <w:p w14:paraId="0E554BA9"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17. </w:t>
      </w:r>
      <w:r w:rsidRPr="00446BC0">
        <w:rPr>
          <w:rFonts w:ascii="Times New Roman" w:hAnsi="Times New Roman" w:cs="Times New Roman"/>
          <w:noProof/>
          <w:szCs w:val="24"/>
        </w:rPr>
        <w:tab/>
        <w:t xml:space="preserve">Broström G. </w:t>
      </w:r>
      <w:r w:rsidRPr="00446BC0">
        <w:rPr>
          <w:rFonts w:ascii="Times New Roman" w:hAnsi="Times New Roman" w:cs="Times New Roman"/>
          <w:i/>
          <w:iCs/>
          <w:noProof/>
          <w:szCs w:val="24"/>
        </w:rPr>
        <w:t>Event History Analysis with R</w:t>
      </w:r>
      <w:r w:rsidRPr="00446BC0">
        <w:rPr>
          <w:rFonts w:ascii="Times New Roman" w:hAnsi="Times New Roman" w:cs="Times New Roman"/>
          <w:noProof/>
          <w:szCs w:val="24"/>
        </w:rPr>
        <w:t>.; 2012.</w:t>
      </w:r>
    </w:p>
    <w:p w14:paraId="79445035"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18. </w:t>
      </w:r>
      <w:r w:rsidRPr="00446BC0">
        <w:rPr>
          <w:rFonts w:ascii="Times New Roman" w:hAnsi="Times New Roman" w:cs="Times New Roman"/>
          <w:noProof/>
          <w:szCs w:val="24"/>
        </w:rPr>
        <w:tab/>
        <w:t xml:space="preserve">Crowther MJ, Look MP, Riley RD. Multilevel mixed effects parametric survival models using adaptive Gauss-Hermite quadrature with application to recurrent events and individual participant data meta-analysis. </w:t>
      </w:r>
      <w:r w:rsidRPr="00446BC0">
        <w:rPr>
          <w:rFonts w:ascii="Times New Roman" w:hAnsi="Times New Roman" w:cs="Times New Roman"/>
          <w:i/>
          <w:iCs/>
          <w:noProof/>
          <w:szCs w:val="24"/>
        </w:rPr>
        <w:t>Stat Med</w:t>
      </w:r>
      <w:r w:rsidRPr="00446BC0">
        <w:rPr>
          <w:rFonts w:ascii="Times New Roman" w:hAnsi="Times New Roman" w:cs="Times New Roman"/>
          <w:noProof/>
          <w:szCs w:val="24"/>
        </w:rPr>
        <w:t>. 2014;33(22):3844-3858. doi:10.1002/sim.6191</w:t>
      </w:r>
    </w:p>
    <w:p w14:paraId="4CC5FBD6"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19. </w:t>
      </w:r>
      <w:r w:rsidRPr="00446BC0">
        <w:rPr>
          <w:rFonts w:ascii="Times New Roman" w:hAnsi="Times New Roman" w:cs="Times New Roman"/>
          <w:noProof/>
          <w:szCs w:val="24"/>
        </w:rPr>
        <w:tab/>
        <w:t xml:space="preserve">Vatchera K., Lee M, MacCormick JB, Rahbar MH. The Effect of Ignoring Statistical Interactions in Regression Analyses Conducted in Epidemiologic Studies: An Example with Survival Analysis Using Cox Proportional Hazards Regression Model. </w:t>
      </w:r>
      <w:r w:rsidRPr="00446BC0">
        <w:rPr>
          <w:rFonts w:ascii="Times New Roman" w:hAnsi="Times New Roman" w:cs="Times New Roman"/>
          <w:i/>
          <w:iCs/>
          <w:noProof/>
          <w:szCs w:val="24"/>
        </w:rPr>
        <w:t>Epidemiology</w:t>
      </w:r>
      <w:r w:rsidRPr="00446BC0">
        <w:rPr>
          <w:rFonts w:ascii="Times New Roman" w:hAnsi="Times New Roman" w:cs="Times New Roman"/>
          <w:noProof/>
          <w:szCs w:val="24"/>
        </w:rPr>
        <w:t>. 2015;6(1):1-17. doi:10.4172/2161-1165.1000216.The</w:t>
      </w:r>
    </w:p>
    <w:p w14:paraId="625B20E0"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20. </w:t>
      </w:r>
      <w:r w:rsidRPr="00446BC0">
        <w:rPr>
          <w:rFonts w:ascii="Times New Roman" w:hAnsi="Times New Roman" w:cs="Times New Roman"/>
          <w:noProof/>
          <w:szCs w:val="24"/>
        </w:rPr>
        <w:tab/>
        <w:t>Crowther MJ. Multilevel mixed effects survival analysis : Estimation , simulation and application. 2018:1-17.</w:t>
      </w:r>
    </w:p>
    <w:p w14:paraId="5D090CF0"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21. </w:t>
      </w:r>
      <w:r w:rsidRPr="00446BC0">
        <w:rPr>
          <w:rFonts w:ascii="Times New Roman" w:hAnsi="Times New Roman" w:cs="Times New Roman"/>
          <w:noProof/>
          <w:szCs w:val="24"/>
        </w:rPr>
        <w:tab/>
        <w:t xml:space="preserve">Yashin AI, Vaupel JW, Iachine IA. Correlated individual frailty: An advantageous approach to survival analysis of bivariate data. </w:t>
      </w:r>
      <w:r w:rsidRPr="00446BC0">
        <w:rPr>
          <w:rFonts w:ascii="Times New Roman" w:hAnsi="Times New Roman" w:cs="Times New Roman"/>
          <w:i/>
          <w:iCs/>
          <w:noProof/>
          <w:szCs w:val="24"/>
        </w:rPr>
        <w:t>Math Popul Stud</w:t>
      </w:r>
      <w:r w:rsidRPr="00446BC0">
        <w:rPr>
          <w:rFonts w:ascii="Times New Roman" w:hAnsi="Times New Roman" w:cs="Times New Roman"/>
          <w:noProof/>
          <w:szCs w:val="24"/>
        </w:rPr>
        <w:t xml:space="preserve">. 1995;5(2):145-159. </w:t>
      </w:r>
      <w:r w:rsidRPr="00446BC0">
        <w:rPr>
          <w:rFonts w:ascii="Times New Roman" w:hAnsi="Times New Roman" w:cs="Times New Roman"/>
          <w:noProof/>
          <w:szCs w:val="24"/>
        </w:rPr>
        <w:lastRenderedPageBreak/>
        <w:t>doi:10.1080/08898489509525394</w:t>
      </w:r>
    </w:p>
    <w:p w14:paraId="3F422BAE"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22. </w:t>
      </w:r>
      <w:r w:rsidRPr="00446BC0">
        <w:rPr>
          <w:rFonts w:ascii="Times New Roman" w:hAnsi="Times New Roman" w:cs="Times New Roman"/>
          <w:noProof/>
          <w:szCs w:val="24"/>
        </w:rPr>
        <w:tab/>
        <w:t xml:space="preserve">Albright JJ, Marinova DM. Estimating Multilevel Models using SPSS, Stata, SAS, and R. </w:t>
      </w:r>
      <w:r w:rsidRPr="00446BC0">
        <w:rPr>
          <w:rFonts w:ascii="Times New Roman" w:hAnsi="Times New Roman" w:cs="Times New Roman"/>
          <w:i/>
          <w:iCs/>
          <w:noProof/>
          <w:szCs w:val="24"/>
        </w:rPr>
        <w:t>Public Pers Manage</w:t>
      </w:r>
      <w:r w:rsidRPr="00446BC0">
        <w:rPr>
          <w:rFonts w:ascii="Times New Roman" w:hAnsi="Times New Roman" w:cs="Times New Roman"/>
          <w:noProof/>
          <w:szCs w:val="24"/>
        </w:rPr>
        <w:t>. 2010;23(3):397-406. doi:10.1177/009102609402300304</w:t>
      </w:r>
    </w:p>
    <w:p w14:paraId="6892798A"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23. </w:t>
      </w:r>
      <w:r w:rsidRPr="00446BC0">
        <w:rPr>
          <w:rFonts w:ascii="Times New Roman" w:hAnsi="Times New Roman" w:cs="Times New Roman"/>
          <w:noProof/>
          <w:szCs w:val="24"/>
        </w:rPr>
        <w:tab/>
        <w:t xml:space="preserve">Yashin AI, Iachine IA. How frailty models can be used for evaluating longevity limits: taking advantage of an interdisciplinary approach. </w:t>
      </w:r>
      <w:r w:rsidRPr="00446BC0">
        <w:rPr>
          <w:rFonts w:ascii="Times New Roman" w:hAnsi="Times New Roman" w:cs="Times New Roman"/>
          <w:i/>
          <w:iCs/>
          <w:noProof/>
          <w:szCs w:val="24"/>
        </w:rPr>
        <w:t>Demography</w:t>
      </w:r>
      <w:r w:rsidRPr="00446BC0">
        <w:rPr>
          <w:rFonts w:ascii="Times New Roman" w:hAnsi="Times New Roman" w:cs="Times New Roman"/>
          <w:noProof/>
          <w:szCs w:val="24"/>
        </w:rPr>
        <w:t>. 1997;34(1):31-48. doi:10.2307/2061658</w:t>
      </w:r>
    </w:p>
    <w:p w14:paraId="564DA056" w14:textId="77777777" w:rsidR="00446BC0" w:rsidRPr="007E7CB6"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lang w:val="fr-FR"/>
        </w:rPr>
      </w:pPr>
      <w:r w:rsidRPr="00446BC0">
        <w:rPr>
          <w:rFonts w:ascii="Times New Roman" w:hAnsi="Times New Roman" w:cs="Times New Roman"/>
          <w:noProof/>
          <w:szCs w:val="24"/>
        </w:rPr>
        <w:t xml:space="preserve">24. </w:t>
      </w:r>
      <w:r w:rsidRPr="00446BC0">
        <w:rPr>
          <w:rFonts w:ascii="Times New Roman" w:hAnsi="Times New Roman" w:cs="Times New Roman"/>
          <w:noProof/>
          <w:szCs w:val="24"/>
        </w:rPr>
        <w:tab/>
        <w:t xml:space="preserve">Kragh P, John A, Kim PK. Estimation of variance in Cox ’ s regression model with gamma frailties . </w:t>
      </w:r>
      <w:r w:rsidRPr="007E7CB6">
        <w:rPr>
          <w:rFonts w:ascii="Times New Roman" w:hAnsi="Times New Roman" w:cs="Times New Roman"/>
          <w:noProof/>
          <w:szCs w:val="24"/>
          <w:lang w:val="fr-FR"/>
        </w:rPr>
        <w:t>1995.</w:t>
      </w:r>
    </w:p>
    <w:p w14:paraId="7B0CF115" w14:textId="77777777" w:rsidR="00446BC0" w:rsidRPr="007E7CB6"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lang w:val="fr-FR"/>
        </w:rPr>
      </w:pPr>
      <w:r w:rsidRPr="007E7CB6">
        <w:rPr>
          <w:rFonts w:ascii="Times New Roman" w:hAnsi="Times New Roman" w:cs="Times New Roman"/>
          <w:noProof/>
          <w:szCs w:val="24"/>
          <w:lang w:val="fr-FR"/>
        </w:rPr>
        <w:t xml:space="preserve">25. </w:t>
      </w:r>
      <w:r w:rsidRPr="007E7CB6">
        <w:rPr>
          <w:rFonts w:ascii="Times New Roman" w:hAnsi="Times New Roman" w:cs="Times New Roman"/>
          <w:noProof/>
          <w:szCs w:val="24"/>
          <w:lang w:val="fr-FR"/>
        </w:rPr>
        <w:tab/>
        <w:t>Therneau T. Package ‘ coxme .’ 2018. https://cran.r-project.org/web/packages/coxme/vignettes/coxme.pdf.</w:t>
      </w:r>
    </w:p>
    <w:p w14:paraId="3A89BDC5"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7E7CB6">
        <w:rPr>
          <w:rFonts w:ascii="Times New Roman" w:hAnsi="Times New Roman" w:cs="Times New Roman"/>
          <w:noProof/>
          <w:szCs w:val="24"/>
          <w:lang w:val="fr-FR"/>
        </w:rPr>
        <w:t xml:space="preserve">26. </w:t>
      </w:r>
      <w:r w:rsidRPr="007E7CB6">
        <w:rPr>
          <w:rFonts w:ascii="Times New Roman" w:hAnsi="Times New Roman" w:cs="Times New Roman"/>
          <w:noProof/>
          <w:szCs w:val="24"/>
          <w:lang w:val="fr-FR"/>
        </w:rPr>
        <w:tab/>
        <w:t xml:space="preserve">Yashin AI, Manton KG, Vaupel JW. </w:t>
      </w:r>
      <w:r w:rsidRPr="00446BC0">
        <w:rPr>
          <w:rFonts w:ascii="Times New Roman" w:hAnsi="Times New Roman" w:cs="Times New Roman"/>
          <w:noProof/>
          <w:szCs w:val="24"/>
        </w:rPr>
        <w:t xml:space="preserve">Mortality and aging in a heterogeneous population: A stochastic process model with observed and unobserved variables. </w:t>
      </w:r>
      <w:r w:rsidRPr="00446BC0">
        <w:rPr>
          <w:rFonts w:ascii="Times New Roman" w:hAnsi="Times New Roman" w:cs="Times New Roman"/>
          <w:i/>
          <w:iCs/>
          <w:noProof/>
          <w:szCs w:val="24"/>
        </w:rPr>
        <w:t>Theor Popul Biol</w:t>
      </w:r>
      <w:r w:rsidRPr="00446BC0">
        <w:rPr>
          <w:rFonts w:ascii="Times New Roman" w:hAnsi="Times New Roman" w:cs="Times New Roman"/>
          <w:noProof/>
          <w:szCs w:val="24"/>
        </w:rPr>
        <w:t>. 1985;27(2):154-175. doi:10.1016/0040-5809(85)90008-5</w:t>
      </w:r>
    </w:p>
    <w:p w14:paraId="5142143E"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27. </w:t>
      </w:r>
      <w:r w:rsidRPr="00446BC0">
        <w:rPr>
          <w:rFonts w:ascii="Times New Roman" w:hAnsi="Times New Roman" w:cs="Times New Roman"/>
          <w:noProof/>
          <w:szCs w:val="24"/>
        </w:rPr>
        <w:tab/>
        <w:t xml:space="preserve">Vaupel JW, Yashin AI. </w:t>
      </w:r>
      <w:r w:rsidRPr="00446BC0">
        <w:rPr>
          <w:rFonts w:ascii="Times New Roman" w:hAnsi="Times New Roman" w:cs="Times New Roman"/>
          <w:i/>
          <w:iCs/>
          <w:noProof/>
          <w:szCs w:val="24"/>
        </w:rPr>
        <w:t>The Deviant Dynamics of Death in Heterogeneous Populations Rr-83-1</w:t>
      </w:r>
      <w:r w:rsidRPr="00446BC0">
        <w:rPr>
          <w:rFonts w:ascii="Times New Roman" w:hAnsi="Times New Roman" w:cs="Times New Roman"/>
          <w:noProof/>
          <w:szCs w:val="24"/>
        </w:rPr>
        <w:t>.; 1983.</w:t>
      </w:r>
    </w:p>
    <w:p w14:paraId="6F0F7B04"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28. </w:t>
      </w:r>
      <w:r w:rsidRPr="00446BC0">
        <w:rPr>
          <w:rFonts w:ascii="Times New Roman" w:hAnsi="Times New Roman" w:cs="Times New Roman"/>
          <w:noProof/>
          <w:szCs w:val="24"/>
        </w:rPr>
        <w:tab/>
        <w:t xml:space="preserve">Vaupel JW. How change in age-specific mortality affects life expectancy*. </w:t>
      </w:r>
      <w:r w:rsidRPr="00446BC0">
        <w:rPr>
          <w:rFonts w:ascii="Times New Roman" w:hAnsi="Times New Roman" w:cs="Times New Roman"/>
          <w:i/>
          <w:iCs/>
          <w:noProof/>
          <w:szCs w:val="24"/>
        </w:rPr>
        <w:t>Popul Stud (NY)</w:t>
      </w:r>
      <w:r w:rsidRPr="00446BC0">
        <w:rPr>
          <w:rFonts w:ascii="Times New Roman" w:hAnsi="Times New Roman" w:cs="Times New Roman"/>
          <w:noProof/>
          <w:szCs w:val="24"/>
        </w:rPr>
        <w:t>. 1986;40(1):147-157. doi:10.1080/0032472031000141896</w:t>
      </w:r>
    </w:p>
    <w:p w14:paraId="3FEF4941"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29. </w:t>
      </w:r>
      <w:r w:rsidRPr="00446BC0">
        <w:rPr>
          <w:rFonts w:ascii="Times New Roman" w:hAnsi="Times New Roman" w:cs="Times New Roman"/>
          <w:noProof/>
          <w:szCs w:val="24"/>
        </w:rPr>
        <w:tab/>
        <w:t xml:space="preserve">Vaupel JW, Manton KG, Stallard E. The Impact of Heterogeneity in Individual Frailty on the Dynamics of Mortality. </w:t>
      </w:r>
      <w:r w:rsidRPr="00446BC0">
        <w:rPr>
          <w:rFonts w:ascii="Times New Roman" w:hAnsi="Times New Roman" w:cs="Times New Roman"/>
          <w:i/>
          <w:iCs/>
          <w:noProof/>
          <w:szCs w:val="24"/>
        </w:rPr>
        <w:t>Demography</w:t>
      </w:r>
      <w:r w:rsidRPr="00446BC0">
        <w:rPr>
          <w:rFonts w:ascii="Times New Roman" w:hAnsi="Times New Roman" w:cs="Times New Roman"/>
          <w:noProof/>
          <w:szCs w:val="24"/>
        </w:rPr>
        <w:t>. 1979;16(3):439. doi:10.2307/2061224</w:t>
      </w:r>
    </w:p>
    <w:p w14:paraId="59DA25BE"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30. </w:t>
      </w:r>
      <w:r w:rsidRPr="00446BC0">
        <w:rPr>
          <w:rFonts w:ascii="Times New Roman" w:hAnsi="Times New Roman" w:cs="Times New Roman"/>
          <w:noProof/>
          <w:szCs w:val="24"/>
        </w:rPr>
        <w:tab/>
        <w:t>Therneau T. Mixed Effects Cox Models. 2018:1-14. doi:10.1111/oik.01149</w:t>
      </w:r>
    </w:p>
    <w:p w14:paraId="20E6CFC7"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31. </w:t>
      </w:r>
      <w:r w:rsidRPr="00446BC0">
        <w:rPr>
          <w:rFonts w:ascii="Times New Roman" w:hAnsi="Times New Roman" w:cs="Times New Roman"/>
          <w:noProof/>
          <w:szCs w:val="24"/>
        </w:rPr>
        <w:tab/>
        <w:t>Therneau T. Coxme and the Laplace Approximation. 2018:1-14.</w:t>
      </w:r>
    </w:p>
    <w:p w14:paraId="51BDD265"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szCs w:val="24"/>
        </w:rPr>
      </w:pPr>
      <w:r w:rsidRPr="00446BC0">
        <w:rPr>
          <w:rFonts w:ascii="Times New Roman" w:hAnsi="Times New Roman" w:cs="Times New Roman"/>
          <w:noProof/>
          <w:szCs w:val="24"/>
        </w:rPr>
        <w:t xml:space="preserve">32. </w:t>
      </w:r>
      <w:r w:rsidRPr="00446BC0">
        <w:rPr>
          <w:rFonts w:ascii="Times New Roman" w:hAnsi="Times New Roman" w:cs="Times New Roman"/>
          <w:noProof/>
          <w:szCs w:val="24"/>
        </w:rPr>
        <w:tab/>
        <w:t xml:space="preserve">Rabe-Hesketh S. </w:t>
      </w:r>
      <w:r w:rsidRPr="00446BC0">
        <w:rPr>
          <w:rFonts w:ascii="Times New Roman" w:hAnsi="Times New Roman" w:cs="Times New Roman"/>
          <w:i/>
          <w:iCs/>
          <w:noProof/>
          <w:szCs w:val="24"/>
        </w:rPr>
        <w:t>Multilevel and Longitudinal Modeling Using Stata</w:t>
      </w:r>
      <w:r w:rsidRPr="00446BC0">
        <w:rPr>
          <w:rFonts w:ascii="Times New Roman" w:hAnsi="Times New Roman" w:cs="Times New Roman"/>
          <w:noProof/>
          <w:szCs w:val="24"/>
        </w:rPr>
        <w:t>.; 2012. doi:10.1198/tas.2006.s56</w:t>
      </w:r>
    </w:p>
    <w:p w14:paraId="7A3D4301" w14:textId="77777777" w:rsidR="00446BC0" w:rsidRPr="00446BC0" w:rsidRDefault="00446BC0" w:rsidP="00446BC0">
      <w:pPr>
        <w:widowControl w:val="0"/>
        <w:autoSpaceDE w:val="0"/>
        <w:autoSpaceDN w:val="0"/>
        <w:adjustRightInd w:val="0"/>
        <w:spacing w:after="0" w:line="240" w:lineRule="auto"/>
        <w:ind w:left="640" w:hanging="640"/>
        <w:rPr>
          <w:rFonts w:ascii="Times New Roman" w:hAnsi="Times New Roman" w:cs="Times New Roman"/>
          <w:noProof/>
        </w:rPr>
      </w:pPr>
      <w:r w:rsidRPr="00446BC0">
        <w:rPr>
          <w:rFonts w:ascii="Times New Roman" w:hAnsi="Times New Roman" w:cs="Times New Roman"/>
          <w:noProof/>
          <w:szCs w:val="24"/>
        </w:rPr>
        <w:t xml:space="preserve">33. </w:t>
      </w:r>
      <w:r w:rsidRPr="00446BC0">
        <w:rPr>
          <w:rFonts w:ascii="Times New Roman" w:hAnsi="Times New Roman" w:cs="Times New Roman"/>
          <w:noProof/>
          <w:szCs w:val="24"/>
        </w:rPr>
        <w:tab/>
        <w:t xml:space="preserve">Willekens F, Putter H. Software for multistate analysis. </w:t>
      </w:r>
      <w:r w:rsidRPr="00446BC0">
        <w:rPr>
          <w:rFonts w:ascii="Times New Roman" w:hAnsi="Times New Roman" w:cs="Times New Roman"/>
          <w:i/>
          <w:iCs/>
          <w:noProof/>
          <w:szCs w:val="24"/>
        </w:rPr>
        <w:t>Demogr Res</w:t>
      </w:r>
      <w:r w:rsidRPr="00446BC0">
        <w:rPr>
          <w:rFonts w:ascii="Times New Roman" w:hAnsi="Times New Roman" w:cs="Times New Roman"/>
          <w:noProof/>
          <w:szCs w:val="24"/>
        </w:rPr>
        <w:t>. 2014;31(1):381-420. doi:10.4054/DemRes.2014.31.14</w:t>
      </w:r>
    </w:p>
    <w:p w14:paraId="1B408729" w14:textId="77777777" w:rsidR="008314DB" w:rsidRPr="001B5980" w:rsidRDefault="00416D9D" w:rsidP="001B5980">
      <w:pPr>
        <w:spacing w:after="0" w:line="480" w:lineRule="auto"/>
        <w:jc w:val="both"/>
        <w:rPr>
          <w:rFonts w:ascii="Times New Roman" w:hAnsi="Times New Roman" w:cs="Times New Roman"/>
        </w:rPr>
      </w:pPr>
      <w:r>
        <w:rPr>
          <w:rFonts w:ascii="Times New Roman" w:hAnsi="Times New Roman" w:cs="Times New Roman"/>
        </w:rPr>
        <w:fldChar w:fldCharType="end"/>
      </w:r>
    </w:p>
    <w:sectPr w:rsidR="008314DB" w:rsidRPr="001B5980" w:rsidSect="00416D9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1F67" w14:textId="77777777" w:rsidR="007E021D" w:rsidRDefault="007E021D" w:rsidP="00EE1CD3">
      <w:pPr>
        <w:spacing w:after="0" w:line="240" w:lineRule="auto"/>
      </w:pPr>
      <w:r>
        <w:separator/>
      </w:r>
    </w:p>
  </w:endnote>
  <w:endnote w:type="continuationSeparator" w:id="0">
    <w:p w14:paraId="26F933E1" w14:textId="77777777" w:rsidR="007E021D" w:rsidRDefault="007E021D" w:rsidP="00EE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057140"/>
      <w:docPartObj>
        <w:docPartGallery w:val="Page Numbers (Bottom of Page)"/>
        <w:docPartUnique/>
      </w:docPartObj>
    </w:sdtPr>
    <w:sdtContent>
      <w:p w14:paraId="27235AED" w14:textId="77777777" w:rsidR="00455748" w:rsidRDefault="00455748">
        <w:pPr>
          <w:pStyle w:val="Pieddepage"/>
          <w:jc w:val="right"/>
        </w:pPr>
        <w:r>
          <w:fldChar w:fldCharType="begin"/>
        </w:r>
        <w:r>
          <w:instrText>PAGE   \* MERGEFORMAT</w:instrText>
        </w:r>
        <w:r>
          <w:fldChar w:fldCharType="separate"/>
        </w:r>
        <w:r w:rsidRPr="00762A84">
          <w:rPr>
            <w:noProof/>
            <w:lang w:val="es-ES"/>
          </w:rPr>
          <w:t>4</w:t>
        </w:r>
        <w:r>
          <w:fldChar w:fldCharType="end"/>
        </w:r>
      </w:p>
    </w:sdtContent>
  </w:sdt>
  <w:p w14:paraId="1263ED19" w14:textId="77777777" w:rsidR="00455748" w:rsidRDefault="004557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C057" w14:textId="77777777" w:rsidR="007E021D" w:rsidRDefault="007E021D" w:rsidP="00EE1CD3">
      <w:pPr>
        <w:spacing w:after="0" w:line="240" w:lineRule="auto"/>
      </w:pPr>
      <w:r>
        <w:separator/>
      </w:r>
    </w:p>
  </w:footnote>
  <w:footnote w:type="continuationSeparator" w:id="0">
    <w:p w14:paraId="0199B290" w14:textId="77777777" w:rsidR="007E021D" w:rsidRDefault="007E021D" w:rsidP="00EE1CD3">
      <w:pPr>
        <w:spacing w:after="0" w:line="240" w:lineRule="auto"/>
      </w:pPr>
      <w:r>
        <w:continuationSeparator/>
      </w:r>
    </w:p>
  </w:footnote>
  <w:footnote w:id="1">
    <w:p w14:paraId="43C75D00" w14:textId="77777777" w:rsidR="00455748" w:rsidRPr="005C32AD" w:rsidRDefault="00455748" w:rsidP="00EE1CD3">
      <w:pPr>
        <w:pStyle w:val="Notedebasdepage"/>
        <w:jc w:val="both"/>
        <w:rPr>
          <w:rFonts w:ascii="Times New Roman" w:hAnsi="Times New Roman" w:cs="Times New Roman"/>
          <w:sz w:val="16"/>
          <w:szCs w:val="16"/>
        </w:rPr>
      </w:pPr>
      <w:r w:rsidRPr="00704860">
        <w:rPr>
          <w:rStyle w:val="Appelnotedebasdep"/>
        </w:rPr>
        <w:footnoteRef/>
      </w:r>
      <w:r w:rsidRPr="005C32AD">
        <w:rPr>
          <w:rFonts w:ascii="Times New Roman" w:hAnsi="Times New Roman" w:cs="Times New Roman"/>
          <w:sz w:val="16"/>
          <w:szCs w:val="16"/>
        </w:rPr>
        <w:t xml:space="preserve"> Missing data refers to the non-responses from the question on the “G</w:t>
      </w:r>
      <w:r>
        <w:rPr>
          <w:rFonts w:ascii="Times New Roman" w:hAnsi="Times New Roman" w:cs="Times New Roman"/>
          <w:sz w:val="16"/>
          <w:szCs w:val="16"/>
        </w:rPr>
        <w:t>lobal</w:t>
      </w:r>
      <w:r w:rsidRPr="005C32AD">
        <w:rPr>
          <w:rFonts w:ascii="Times New Roman" w:hAnsi="Times New Roman" w:cs="Times New Roman"/>
          <w:sz w:val="16"/>
          <w:szCs w:val="16"/>
        </w:rPr>
        <w:t xml:space="preserve"> Activity Limitation Index” (GALI). Truncation or attrition refers to the population who dropped out in any year during the four-year period of observation. </w:t>
      </w:r>
    </w:p>
  </w:footnote>
  <w:footnote w:id="2">
    <w:p w14:paraId="5247AF20" w14:textId="77777777" w:rsidR="00455748" w:rsidRPr="005C32AD" w:rsidRDefault="00455748" w:rsidP="00416D9D">
      <w:pPr>
        <w:pStyle w:val="Notedebasdepage"/>
        <w:rPr>
          <w:rFonts w:ascii="Times New Roman" w:hAnsi="Times New Roman" w:cs="Times New Roman"/>
          <w:sz w:val="16"/>
          <w:szCs w:val="16"/>
        </w:rPr>
      </w:pPr>
      <w:r w:rsidRPr="00704860">
        <w:rPr>
          <w:rStyle w:val="Appelnotedebasdep"/>
        </w:rPr>
        <w:footnoteRef/>
      </w:r>
      <w:r w:rsidRPr="005C32AD">
        <w:rPr>
          <w:rFonts w:ascii="Times New Roman" w:hAnsi="Times New Roman" w:cs="Times New Roman"/>
          <w:sz w:val="16"/>
          <w:szCs w:val="16"/>
        </w:rPr>
        <w:t xml:space="preserve"> We were not able to introduce multilevel effects with multistate modelling, but we don’t discard the possibility that it can be done. </w:t>
      </w:r>
    </w:p>
  </w:footnote>
  <w:footnote w:id="3">
    <w:p w14:paraId="23164E92" w14:textId="77777777" w:rsidR="00455748" w:rsidRPr="00541057" w:rsidRDefault="00455748" w:rsidP="00416D9D">
      <w:pPr>
        <w:pStyle w:val="Notedebasdepage"/>
      </w:pPr>
      <w:r w:rsidRPr="00704860">
        <w:rPr>
          <w:rStyle w:val="Appelnotedebasdep"/>
        </w:rPr>
        <w:footnoteRef/>
      </w:r>
      <w:r w:rsidRPr="00C54EA3">
        <w:t xml:space="preserve"> </w:t>
      </w:r>
      <w:r w:rsidRPr="00E25D8D">
        <w:rPr>
          <w:rFonts w:ascii="Times New Roman" w:hAnsi="Times New Roman" w:cs="Times New Roman"/>
          <w:sz w:val="16"/>
          <w:szCs w:val="16"/>
        </w:rPr>
        <w:t>Baseline hazard without any proportionality assumption. It is linear function of covariates.</w:t>
      </w:r>
      <w:r w:rsidRPr="00C54EA3">
        <w:t xml:space="preserve"> </w:t>
      </w:r>
    </w:p>
  </w:footnote>
  <w:footnote w:id="4">
    <w:p w14:paraId="29D0F8C1" w14:textId="77777777" w:rsidR="00455748" w:rsidRPr="002E0DAC" w:rsidRDefault="00455748" w:rsidP="00416D9D">
      <w:pPr>
        <w:pStyle w:val="Notedebasdepage"/>
      </w:pPr>
      <w:r w:rsidRPr="00704860">
        <w:rPr>
          <w:rStyle w:val="Appelnotedebasdep"/>
        </w:rPr>
        <w:footnoteRef/>
      </w:r>
      <w:r w:rsidRPr="005C32AD">
        <w:rPr>
          <w:rFonts w:ascii="Times New Roman" w:hAnsi="Times New Roman" w:cs="Times New Roman"/>
          <w:sz w:val="16"/>
          <w:szCs w:val="16"/>
        </w:rPr>
        <w:t xml:space="preserve"> Without children but that may include other co-resident persons (including other type of kin).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B04"/>
    <w:multiLevelType w:val="hybridMultilevel"/>
    <w:tmpl w:val="B30077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C7F67"/>
    <w:multiLevelType w:val="hybridMultilevel"/>
    <w:tmpl w:val="BA303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FE096C"/>
    <w:multiLevelType w:val="hybridMultilevel"/>
    <w:tmpl w:val="381E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220778">
    <w:abstractNumId w:val="1"/>
  </w:num>
  <w:num w:numId="2" w16cid:durableId="608968409">
    <w:abstractNumId w:val="2"/>
  </w:num>
  <w:num w:numId="3" w16cid:durableId="4464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D3"/>
    <w:rsid w:val="00007F50"/>
    <w:rsid w:val="0001794E"/>
    <w:rsid w:val="000465AD"/>
    <w:rsid w:val="000B4D1D"/>
    <w:rsid w:val="0016271E"/>
    <w:rsid w:val="001B0BE6"/>
    <w:rsid w:val="001B5980"/>
    <w:rsid w:val="001C15CE"/>
    <w:rsid w:val="001D70AB"/>
    <w:rsid w:val="00416D9D"/>
    <w:rsid w:val="0044244C"/>
    <w:rsid w:val="00446BC0"/>
    <w:rsid w:val="00455748"/>
    <w:rsid w:val="004F577E"/>
    <w:rsid w:val="005512E0"/>
    <w:rsid w:val="00583F7D"/>
    <w:rsid w:val="00584E24"/>
    <w:rsid w:val="00591E17"/>
    <w:rsid w:val="00607B85"/>
    <w:rsid w:val="00692F33"/>
    <w:rsid w:val="006A2414"/>
    <w:rsid w:val="006D6040"/>
    <w:rsid w:val="00704860"/>
    <w:rsid w:val="00762A84"/>
    <w:rsid w:val="007E021D"/>
    <w:rsid w:val="007E7CB6"/>
    <w:rsid w:val="008314DB"/>
    <w:rsid w:val="00871097"/>
    <w:rsid w:val="00872C02"/>
    <w:rsid w:val="008D4557"/>
    <w:rsid w:val="00991CD6"/>
    <w:rsid w:val="009A47AD"/>
    <w:rsid w:val="00B81612"/>
    <w:rsid w:val="00BA51DE"/>
    <w:rsid w:val="00BD4433"/>
    <w:rsid w:val="00C51488"/>
    <w:rsid w:val="00C90262"/>
    <w:rsid w:val="00CC7E8C"/>
    <w:rsid w:val="00E11E64"/>
    <w:rsid w:val="00E25D8D"/>
    <w:rsid w:val="00EE1CD3"/>
    <w:rsid w:val="00F23B01"/>
    <w:rsid w:val="00F44E72"/>
    <w:rsid w:val="00FB23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76B4"/>
  <w15:chartTrackingRefBased/>
  <w15:docId w15:val="{BD4173E6-CCFD-4C01-B857-70A026F3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416D9D"/>
    <w:pPr>
      <w:keepNext/>
      <w:keepLines/>
      <w:spacing w:before="40" w:after="0"/>
      <w:outlineLvl w:val="1"/>
    </w:pPr>
    <w:rPr>
      <w:rFonts w:asciiTheme="majorHAnsi" w:eastAsiaTheme="majorEastAsia" w:hAnsiTheme="majorHAnsi" w:cstheme="majorBidi"/>
      <w:color w:val="2E74B5" w:themeColor="accent1" w:themeShade="BF"/>
      <w:sz w:val="26"/>
      <w:szCs w:val="26"/>
      <w:lang w:val="es-419"/>
    </w:rPr>
  </w:style>
  <w:style w:type="paragraph" w:styleId="Titre3">
    <w:name w:val="heading 3"/>
    <w:basedOn w:val="Normal"/>
    <w:next w:val="Normal"/>
    <w:link w:val="Titre3Car"/>
    <w:uiPriority w:val="9"/>
    <w:unhideWhenUsed/>
    <w:qFormat/>
    <w:rsid w:val="00FB2322"/>
    <w:pPr>
      <w:keepNext/>
      <w:keepLines/>
      <w:spacing w:after="0" w:line="240" w:lineRule="auto"/>
      <w:outlineLvl w:val="2"/>
    </w:pPr>
    <w:rPr>
      <w:rFonts w:eastAsiaTheme="majorEastAsia" w:cstheme="majorBidi"/>
      <w:b/>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E1CD3"/>
    <w:pPr>
      <w:spacing w:after="0" w:line="240" w:lineRule="auto"/>
    </w:pPr>
    <w:rPr>
      <w:sz w:val="20"/>
      <w:szCs w:val="20"/>
    </w:rPr>
  </w:style>
  <w:style w:type="character" w:customStyle="1" w:styleId="NotedebasdepageCar">
    <w:name w:val="Note de bas de page Car"/>
    <w:basedOn w:val="Policepardfaut"/>
    <w:link w:val="Notedebasdepage"/>
    <w:uiPriority w:val="99"/>
    <w:rsid w:val="00EE1CD3"/>
    <w:rPr>
      <w:sz w:val="20"/>
      <w:szCs w:val="20"/>
    </w:rPr>
  </w:style>
  <w:style w:type="character" w:styleId="Appelnotedebasdep">
    <w:name w:val="footnote reference"/>
    <w:basedOn w:val="Policepardfaut"/>
    <w:uiPriority w:val="99"/>
    <w:semiHidden/>
    <w:unhideWhenUsed/>
    <w:rsid w:val="00EE1CD3"/>
    <w:rPr>
      <w:vertAlign w:val="superscript"/>
    </w:rPr>
  </w:style>
  <w:style w:type="character" w:customStyle="1" w:styleId="Titre3Car">
    <w:name w:val="Titre 3 Car"/>
    <w:basedOn w:val="Policepardfaut"/>
    <w:link w:val="Titre3"/>
    <w:uiPriority w:val="9"/>
    <w:rsid w:val="00FB2322"/>
    <w:rPr>
      <w:rFonts w:eastAsiaTheme="majorEastAsia" w:cstheme="majorBidi"/>
      <w:b/>
      <w:sz w:val="24"/>
      <w:szCs w:val="24"/>
      <w:lang w:val="en-US"/>
    </w:rPr>
  </w:style>
  <w:style w:type="character" w:styleId="Appeldenotedefin">
    <w:name w:val="endnote reference"/>
    <w:basedOn w:val="Policepardfaut"/>
    <w:uiPriority w:val="99"/>
    <w:semiHidden/>
    <w:unhideWhenUsed/>
    <w:rsid w:val="008314DB"/>
    <w:rPr>
      <w:vertAlign w:val="superscript"/>
    </w:rPr>
  </w:style>
  <w:style w:type="character" w:customStyle="1" w:styleId="Titre2Car">
    <w:name w:val="Titre 2 Car"/>
    <w:basedOn w:val="Policepardfaut"/>
    <w:link w:val="Titre2"/>
    <w:uiPriority w:val="9"/>
    <w:rsid w:val="00416D9D"/>
    <w:rPr>
      <w:rFonts w:asciiTheme="majorHAnsi" w:eastAsiaTheme="majorEastAsia" w:hAnsiTheme="majorHAnsi" w:cstheme="majorBidi"/>
      <w:color w:val="2E74B5" w:themeColor="accent1" w:themeShade="BF"/>
      <w:sz w:val="26"/>
      <w:szCs w:val="26"/>
      <w:lang w:val="es-419"/>
    </w:rPr>
  </w:style>
  <w:style w:type="character" w:styleId="Accentuationintense">
    <w:name w:val="Intense Emphasis"/>
    <w:basedOn w:val="Policepardfaut"/>
    <w:uiPriority w:val="21"/>
    <w:qFormat/>
    <w:rsid w:val="00416D9D"/>
    <w:rPr>
      <w:i/>
      <w:iCs/>
      <w:color w:val="5B9BD5" w:themeColor="accent1"/>
    </w:rPr>
  </w:style>
  <w:style w:type="paragraph" w:styleId="Paragraphedeliste">
    <w:name w:val="List Paragraph"/>
    <w:basedOn w:val="Normal"/>
    <w:uiPriority w:val="34"/>
    <w:qFormat/>
    <w:rsid w:val="00416D9D"/>
    <w:pPr>
      <w:ind w:left="720"/>
      <w:contextualSpacing/>
    </w:pPr>
  </w:style>
  <w:style w:type="paragraph" w:styleId="En-tte">
    <w:name w:val="header"/>
    <w:basedOn w:val="Normal"/>
    <w:link w:val="En-tteCar"/>
    <w:uiPriority w:val="99"/>
    <w:unhideWhenUsed/>
    <w:rsid w:val="00416D9D"/>
    <w:pPr>
      <w:tabs>
        <w:tab w:val="center" w:pos="4252"/>
        <w:tab w:val="right" w:pos="8504"/>
      </w:tabs>
      <w:spacing w:after="0" w:line="240" w:lineRule="auto"/>
    </w:pPr>
  </w:style>
  <w:style w:type="character" w:customStyle="1" w:styleId="En-tteCar">
    <w:name w:val="En-tête Car"/>
    <w:basedOn w:val="Policepardfaut"/>
    <w:link w:val="En-tte"/>
    <w:uiPriority w:val="99"/>
    <w:rsid w:val="00416D9D"/>
  </w:style>
  <w:style w:type="paragraph" w:styleId="Pieddepage">
    <w:name w:val="footer"/>
    <w:basedOn w:val="Normal"/>
    <w:link w:val="PieddepageCar"/>
    <w:uiPriority w:val="99"/>
    <w:unhideWhenUsed/>
    <w:rsid w:val="00416D9D"/>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416D9D"/>
  </w:style>
  <w:style w:type="paragraph" w:styleId="Textedebulles">
    <w:name w:val="Balloon Text"/>
    <w:basedOn w:val="Normal"/>
    <w:link w:val="TextedebullesCar"/>
    <w:uiPriority w:val="99"/>
    <w:semiHidden/>
    <w:unhideWhenUsed/>
    <w:rsid w:val="005512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12E0"/>
    <w:rPr>
      <w:rFonts w:ascii="Segoe UI" w:hAnsi="Segoe UI" w:cs="Segoe UI"/>
      <w:sz w:val="18"/>
      <w:szCs w:val="18"/>
    </w:rPr>
  </w:style>
  <w:style w:type="paragraph" w:styleId="Rvision">
    <w:name w:val="Revision"/>
    <w:hidden/>
    <w:uiPriority w:val="99"/>
    <w:semiHidden/>
    <w:rsid w:val="007E7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0EA3F-AF02-4570-87A0-42B1F150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14851</Words>
  <Characters>81686</Characters>
  <Application>Microsoft Office Word</Application>
  <DocSecurity>0</DocSecurity>
  <Lines>680</Lines>
  <Paragraphs>192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srueda</dc:creator>
  <cp:keywords/>
  <dc:description/>
  <cp:lastModifiedBy>Virginie Cassigneul</cp:lastModifiedBy>
  <cp:revision>2</cp:revision>
  <dcterms:created xsi:type="dcterms:W3CDTF">2022-09-14T06:24:00Z</dcterms:created>
  <dcterms:modified xsi:type="dcterms:W3CDTF">2022-09-14T06:24:00Z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2308d31a-fee4-3fd7-a379-814838ef0261</vt:lpwstr>
  </property>
  <property fmtid="{D5CDD505-2E9C-101B-9397-08002B2CF9AE}" pid="24" name="Mendeley Citation Style_1">
    <vt:lpwstr>http://www.zotero.org/styles/american-medical-association</vt:lpwstr>
  </property>
</Properties>
</file>